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A320" w14:textId="4FB31DB3" w:rsidR="0009646B" w:rsidRDefault="0009646B" w:rsidP="0009646B">
      <w:pPr>
        <w:pStyle w:val="3GPPHeader"/>
        <w:spacing w:after="60"/>
        <w:rPr>
          <w:sz w:val="32"/>
          <w:szCs w:val="32"/>
          <w:highlight w:val="yellow"/>
        </w:rPr>
      </w:pPr>
      <w:r>
        <w:t>3GPP TSG-RAN WG2 #123-bis</w:t>
      </w:r>
      <w:r>
        <w:tab/>
      </w:r>
      <w:r w:rsidR="00215964" w:rsidRPr="00215964">
        <w:t>R2-2310987</w:t>
      </w:r>
    </w:p>
    <w:p w14:paraId="549CB4C0" w14:textId="0F42523D" w:rsidR="0009646B" w:rsidRDefault="0009646B" w:rsidP="0009646B">
      <w:pPr>
        <w:pStyle w:val="3GPPHeader"/>
      </w:pPr>
      <w:r>
        <w:t>Xiamen, P.R. China, October 9</w:t>
      </w:r>
      <w:r>
        <w:rPr>
          <w:vertAlign w:val="superscript"/>
        </w:rPr>
        <w:t>th</w:t>
      </w:r>
      <w:r>
        <w:t xml:space="preserve"> – 13</w:t>
      </w:r>
      <w:r>
        <w:rPr>
          <w:vertAlign w:val="superscript"/>
        </w:rPr>
        <w:t>th</w:t>
      </w:r>
      <w:r w:rsidR="007100CF">
        <w:t xml:space="preserve">, </w:t>
      </w:r>
      <w:r>
        <w:t>2023</w:t>
      </w:r>
    </w:p>
    <w:p w14:paraId="35204620"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Agenda Item:</w:t>
      </w:r>
      <w:r w:rsidRPr="0061155F">
        <w:rPr>
          <w:rFonts w:cs="Arial"/>
          <w:sz w:val="22"/>
          <w:szCs w:val="22"/>
          <w:lang w:val="en-US"/>
        </w:rPr>
        <w:tab/>
      </w:r>
      <w:r w:rsidR="00E64A2F" w:rsidRPr="0061155F">
        <w:rPr>
          <w:rFonts w:cs="Arial"/>
          <w:sz w:val="22"/>
          <w:szCs w:val="22"/>
          <w:lang w:val="en-US"/>
        </w:rPr>
        <w:t>7.4.3</w:t>
      </w:r>
    </w:p>
    <w:p w14:paraId="322F14D1"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Source:</w:t>
      </w:r>
      <w:r w:rsidRPr="0061155F">
        <w:rPr>
          <w:rFonts w:cs="Arial"/>
          <w:sz w:val="22"/>
          <w:szCs w:val="22"/>
          <w:lang w:val="en-US"/>
        </w:rPr>
        <w:tab/>
        <w:t>InterDigital</w:t>
      </w:r>
      <w:r w:rsidR="002E71CC" w:rsidRPr="0061155F">
        <w:rPr>
          <w:rFonts w:cs="Arial"/>
          <w:sz w:val="22"/>
          <w:szCs w:val="22"/>
          <w:lang w:val="en-US"/>
        </w:rPr>
        <w:t xml:space="preserve"> </w:t>
      </w:r>
      <w:r w:rsidR="003E01E6" w:rsidRPr="0061155F">
        <w:rPr>
          <w:rFonts w:cs="Arial"/>
          <w:sz w:val="22"/>
          <w:szCs w:val="22"/>
          <w:lang w:val="en-US"/>
        </w:rPr>
        <w:t>Inc.</w:t>
      </w:r>
    </w:p>
    <w:p w14:paraId="533E6294" w14:textId="6054913B" w:rsidR="00687B3C" w:rsidRPr="0061155F" w:rsidRDefault="00687B3C" w:rsidP="00687B3C">
      <w:pPr>
        <w:pStyle w:val="3GPPHeader"/>
        <w:jc w:val="left"/>
        <w:rPr>
          <w:rFonts w:cs="Arial"/>
          <w:color w:val="000000"/>
          <w:sz w:val="22"/>
          <w:szCs w:val="22"/>
        </w:rPr>
      </w:pPr>
      <w:r w:rsidRPr="0061155F">
        <w:rPr>
          <w:rFonts w:cs="Arial"/>
          <w:sz w:val="22"/>
          <w:szCs w:val="22"/>
        </w:rPr>
        <w:t>Title:</w:t>
      </w:r>
      <w:r w:rsidRPr="0061155F">
        <w:rPr>
          <w:rFonts w:cs="Arial"/>
          <w:sz w:val="22"/>
          <w:szCs w:val="22"/>
        </w:rPr>
        <w:tab/>
      </w:r>
      <w:r w:rsidR="007B4969">
        <w:rPr>
          <w:rFonts w:cs="Arial"/>
          <w:sz w:val="22"/>
          <w:szCs w:val="22"/>
        </w:rPr>
        <w:t>Open issues regarding s</w:t>
      </w:r>
      <w:r w:rsidR="003B52DA" w:rsidRPr="0061155F">
        <w:rPr>
          <w:rFonts w:cs="Arial"/>
          <w:sz w:val="22"/>
          <w:szCs w:val="22"/>
        </w:rPr>
        <w:t xml:space="preserve">ubsequent </w:t>
      </w:r>
      <w:r w:rsidR="00336C4A">
        <w:rPr>
          <w:rFonts w:cs="Arial"/>
          <w:sz w:val="22"/>
          <w:szCs w:val="22"/>
        </w:rPr>
        <w:t xml:space="preserve">CPAC </w:t>
      </w:r>
    </w:p>
    <w:p w14:paraId="1B589AA4" w14:textId="77777777" w:rsidR="00687B3C" w:rsidRPr="002C542E" w:rsidRDefault="00687B3C" w:rsidP="00687B3C">
      <w:pPr>
        <w:pStyle w:val="3GPPHeader"/>
        <w:jc w:val="left"/>
        <w:rPr>
          <w:rFonts w:cs="Arial"/>
          <w:sz w:val="22"/>
          <w:szCs w:val="22"/>
        </w:rPr>
      </w:pPr>
      <w:r w:rsidRPr="0061155F">
        <w:rPr>
          <w:rFonts w:cs="Arial"/>
          <w:sz w:val="22"/>
          <w:szCs w:val="22"/>
        </w:rPr>
        <w:t>Document for:</w:t>
      </w:r>
      <w:r w:rsidRPr="0061155F">
        <w:rPr>
          <w:rFonts w:cs="Arial"/>
          <w:sz w:val="22"/>
          <w:szCs w:val="22"/>
        </w:rPr>
        <w:tab/>
        <w:t>Discussion, Decision</w:t>
      </w:r>
    </w:p>
    <w:p w14:paraId="31313502" w14:textId="77777777" w:rsidR="00687B3C" w:rsidRDefault="00687B3C" w:rsidP="00687B3C">
      <w:pPr>
        <w:pStyle w:val="Heading1"/>
        <w:tabs>
          <w:tab w:val="clear" w:pos="792"/>
          <w:tab w:val="num" w:pos="540"/>
        </w:tabs>
        <w:ind w:left="540" w:hanging="540"/>
      </w:pPr>
      <w:r w:rsidRPr="002C542E">
        <w:t>Introduction</w:t>
      </w:r>
    </w:p>
    <w:p w14:paraId="25F3C865" w14:textId="7D0BF13C" w:rsidR="00E71F35" w:rsidRDefault="00540AF9" w:rsidP="00F47729">
      <w:pPr>
        <w:shd w:val="clear" w:color="auto" w:fill="FFFFFF"/>
        <w:rPr>
          <w:lang w:val="en-US"/>
        </w:rPr>
      </w:pPr>
      <w:r>
        <w:rPr>
          <w:lang w:val="en-US"/>
        </w:rPr>
        <w:t xml:space="preserve">The topic </w:t>
      </w:r>
      <w:r w:rsidR="003B5AD3">
        <w:rPr>
          <w:lang w:val="en-US"/>
        </w:rPr>
        <w:t xml:space="preserve">of </w:t>
      </w:r>
      <w:r w:rsidR="00B4450E">
        <w:rPr>
          <w:lang w:val="en-US"/>
        </w:rPr>
        <w:t xml:space="preserve">subsequent CPAC </w:t>
      </w:r>
      <w:r w:rsidR="003B5AD3">
        <w:rPr>
          <w:lang w:val="en-US"/>
        </w:rPr>
        <w:t xml:space="preserve">was </w:t>
      </w:r>
      <w:r>
        <w:rPr>
          <w:lang w:val="en-US"/>
        </w:rPr>
        <w:t xml:space="preserve">discussed in </w:t>
      </w:r>
      <w:r w:rsidR="003B5AD3">
        <w:rPr>
          <w:lang w:val="en-US"/>
        </w:rPr>
        <w:t>RAN2#1</w:t>
      </w:r>
      <w:r w:rsidR="00680C11">
        <w:rPr>
          <w:lang w:val="en-US"/>
        </w:rPr>
        <w:t>21</w:t>
      </w:r>
      <w:r w:rsidR="003B5AD3">
        <w:rPr>
          <w:lang w:val="en-US"/>
        </w:rPr>
        <w:t>bis-e</w:t>
      </w:r>
      <w:r w:rsidR="005452B1">
        <w:rPr>
          <w:lang w:val="en-US"/>
        </w:rPr>
        <w:t xml:space="preserve"> [1]</w:t>
      </w:r>
      <w:r w:rsidR="00B4450E">
        <w:rPr>
          <w:lang w:val="en-US"/>
        </w:rPr>
        <w:t xml:space="preserve">, </w:t>
      </w:r>
      <w:r w:rsidR="005452B1">
        <w:rPr>
          <w:lang w:val="en-US"/>
        </w:rPr>
        <w:t>RAN2#122 [2], and</w:t>
      </w:r>
      <w:r w:rsidR="00B4450E">
        <w:rPr>
          <w:lang w:val="en-US"/>
        </w:rPr>
        <w:t xml:space="preserve"> RAN2#123 [3] and</w:t>
      </w:r>
      <w:r w:rsidR="005452B1">
        <w:rPr>
          <w:lang w:val="en-US"/>
        </w:rPr>
        <w:t xml:space="preserve"> several agreements were made (see Annex)</w:t>
      </w:r>
      <w:r w:rsidR="007C39BB">
        <w:rPr>
          <w:lang w:val="en-US"/>
        </w:rPr>
        <w:t>.</w:t>
      </w:r>
      <w:r w:rsidR="00E71F35">
        <w:rPr>
          <w:lang w:val="en-US"/>
        </w:rPr>
        <w:t xml:space="preserve"> An email discussion has also been carried out to capture initial stage 3 details and an initial draft CR to 38.331 is available at [4].</w:t>
      </w:r>
      <w:r w:rsidR="00B4450E">
        <w:rPr>
          <w:lang w:val="en-US"/>
        </w:rPr>
        <w:t xml:space="preserve"> </w:t>
      </w:r>
    </w:p>
    <w:p w14:paraId="47CB66BE" w14:textId="2CF3F466" w:rsidR="00D8735D" w:rsidRDefault="00B4450E" w:rsidP="00F47729">
      <w:pPr>
        <w:shd w:val="clear" w:color="auto" w:fill="FFFFFF"/>
        <w:rPr>
          <w:lang w:val="en-US"/>
        </w:rPr>
      </w:pPr>
      <w:r>
        <w:rPr>
          <w:lang w:val="en-US"/>
        </w:rPr>
        <w:t>This contribution addresses some of the open issues and discusses the need for selective activation/deactivation of CPAC configurations.</w:t>
      </w:r>
    </w:p>
    <w:p w14:paraId="50FC6494" w14:textId="77777777" w:rsidR="00D8735D" w:rsidRDefault="00230656" w:rsidP="00D8735D">
      <w:pPr>
        <w:pStyle w:val="Heading1"/>
        <w:tabs>
          <w:tab w:val="clear" w:pos="792"/>
          <w:tab w:val="num" w:pos="540"/>
        </w:tabs>
        <w:ind w:left="540" w:hanging="540"/>
      </w:pPr>
      <w:r>
        <w:t>Discussion</w:t>
      </w:r>
    </w:p>
    <w:p w14:paraId="171B41A4" w14:textId="77777777" w:rsidR="00E412D7" w:rsidRDefault="00E412D7" w:rsidP="00E412D7">
      <w:pPr>
        <w:spacing w:before="120" w:after="0"/>
        <w:jc w:val="left"/>
      </w:pPr>
      <w:r>
        <w:rPr>
          <w:bCs/>
        </w:rPr>
        <w:t>One open issue is regarding whether the reference SCG configuration for subsequent CPAC can also contain an MCG configuration/part.</w:t>
      </w:r>
      <w:r w:rsidRPr="00D46563">
        <w:t xml:space="preserve"> </w:t>
      </w:r>
      <w:r>
        <w:t xml:space="preserve">Including the inclusion of the MCG part will enable the UE to revert (some part of) the MCG configuration to a state it was when the subsequent CPAC was first configured (e.g., the CPAC configurations do not necessarily have to be updated each time the MCG configuration is changed).  Rel-17 already supports the inclusion of an MCG configuration for </w:t>
      </w:r>
      <w:r w:rsidRPr="00D46563">
        <w:t>inter-SN CPC</w:t>
      </w:r>
      <w:r>
        <w:t xml:space="preserve">. Thus, it is natural to follow the same approach and the decision to include it or not in the reference configuration can be left to network implementation. </w:t>
      </w:r>
    </w:p>
    <w:p w14:paraId="0BB1FA76" w14:textId="77777777" w:rsidR="00E412D7" w:rsidRDefault="00E412D7" w:rsidP="00E412D7">
      <w:pPr>
        <w:spacing w:before="120" w:after="0"/>
        <w:jc w:val="left"/>
      </w:pPr>
    </w:p>
    <w:p w14:paraId="45E23817" w14:textId="225517BA" w:rsidR="00E412D7" w:rsidRDefault="00E412D7" w:rsidP="00E412D7">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sidRPr="00447C80">
        <w:rPr>
          <w:rFonts w:cs="Arial"/>
          <w:i/>
        </w:rPr>
        <w:t xml:space="preserve">The reference configuration for </w:t>
      </w:r>
      <w:r>
        <w:rPr>
          <w:rFonts w:cs="Arial"/>
          <w:i/>
        </w:rPr>
        <w:t>subsequent CPAC may optionally contain an MCG configuration</w:t>
      </w:r>
      <w:r w:rsidRPr="00447C80">
        <w:rPr>
          <w:rFonts w:cs="Arial"/>
          <w:i/>
        </w:rPr>
        <w:t>.</w:t>
      </w:r>
    </w:p>
    <w:p w14:paraId="4B2A980D" w14:textId="368A6313" w:rsidR="00E71F35" w:rsidRDefault="001A34C5" w:rsidP="00171A46">
      <w:pPr>
        <w:spacing w:before="120" w:after="0"/>
        <w:jc w:val="left"/>
        <w:rPr>
          <w:bCs/>
        </w:rPr>
      </w:pPr>
      <w:r>
        <w:rPr>
          <w:bCs/>
        </w:rPr>
        <w:t xml:space="preserve">As has been agreed </w:t>
      </w:r>
      <w:r w:rsidR="008D3872">
        <w:rPr>
          <w:bCs/>
        </w:rPr>
        <w:t xml:space="preserve">already in </w:t>
      </w:r>
      <w:r>
        <w:rPr>
          <w:bCs/>
        </w:rPr>
        <w:t xml:space="preserve">in </w:t>
      </w:r>
      <w:r w:rsidR="00D31448">
        <w:rPr>
          <w:bCs/>
        </w:rPr>
        <w:t>RAN2</w:t>
      </w:r>
      <w:r w:rsidR="00680C11">
        <w:rPr>
          <w:bCs/>
        </w:rPr>
        <w:t xml:space="preserve">, </w:t>
      </w:r>
      <w:r>
        <w:rPr>
          <w:bCs/>
        </w:rPr>
        <w:t xml:space="preserve">subsequent secondary cell group change is </w:t>
      </w:r>
      <w:r w:rsidR="003817FB">
        <w:rPr>
          <w:bCs/>
        </w:rPr>
        <w:t xml:space="preserve">to be </w:t>
      </w:r>
      <w:r>
        <w:rPr>
          <w:bCs/>
        </w:rPr>
        <w:t xml:space="preserve">supported without the need for RRC reconfiguration, which requires maintaining of </w:t>
      </w:r>
      <w:r w:rsidR="00B4450E">
        <w:rPr>
          <w:bCs/>
        </w:rPr>
        <w:t xml:space="preserve">the </w:t>
      </w:r>
      <w:r>
        <w:rPr>
          <w:bCs/>
        </w:rPr>
        <w:t>CP</w:t>
      </w:r>
      <w:r w:rsidR="00B4450E">
        <w:rPr>
          <w:bCs/>
        </w:rPr>
        <w:t>A</w:t>
      </w:r>
      <w:r>
        <w:rPr>
          <w:bCs/>
        </w:rPr>
        <w:t>C configurations after executing a certain CP</w:t>
      </w:r>
      <w:r w:rsidR="00B4450E">
        <w:rPr>
          <w:bCs/>
        </w:rPr>
        <w:t>A</w:t>
      </w:r>
      <w:r>
        <w:rPr>
          <w:bCs/>
        </w:rPr>
        <w:t xml:space="preserve">C configuration. </w:t>
      </w:r>
      <w:r w:rsidR="00B4450E">
        <w:rPr>
          <w:bCs/>
        </w:rPr>
        <w:t>However, in the case of a PCell c</w:t>
      </w:r>
      <w:r w:rsidR="00E71F35">
        <w:rPr>
          <w:bCs/>
        </w:rPr>
        <w:t>hange, the legacy principle of releasing the conditional reconfigurations should be followed, as the current CPAC configurations will not be valid anymore (at least from the security point of view, as the security context of the CPAC configurations is associated with the source PCell). Our understanding is that this is captured incorrectly in the draft CR [4], where it is stated that:</w:t>
      </w:r>
    </w:p>
    <w:p w14:paraId="64CB62E9" w14:textId="77777777" w:rsidR="00E71F35" w:rsidRDefault="00E71F35" w:rsidP="00171A46">
      <w:pPr>
        <w:spacing w:before="120" w:after="0"/>
        <w:jc w:val="left"/>
        <w:rPr>
          <w:bCs/>
        </w:rPr>
      </w:pPr>
    </w:p>
    <w:p w14:paraId="3CA99E33" w14:textId="77777777" w:rsidR="00E71F35" w:rsidRDefault="00E71F35" w:rsidP="00E71F35">
      <w:pPr>
        <w:pStyle w:val="B2"/>
        <w:rPr>
          <w:rFonts w:ascii="Times New Roman" w:hAnsi="Times New Roman"/>
          <w:lang w:eastAsia="ja-JP"/>
        </w:rPr>
      </w:pPr>
      <w:r w:rsidRPr="00215964">
        <w:rPr>
          <w:highlight w:val="yellow"/>
        </w:rPr>
        <w:t>2&gt;</w:t>
      </w:r>
      <w:r w:rsidRPr="00215964">
        <w:rPr>
          <w:highlight w:val="yellow"/>
        </w:rPr>
        <w:tab/>
        <w:t xml:space="preserve">if the </w:t>
      </w:r>
      <w:r w:rsidRPr="00215964">
        <w:rPr>
          <w:i/>
          <w:highlight w:val="yellow"/>
        </w:rPr>
        <w:t>reconfigurationWithSync</w:t>
      </w:r>
      <w:r w:rsidRPr="00215964">
        <w:rPr>
          <w:highlight w:val="yellow"/>
        </w:rPr>
        <w:t xml:space="preserve"> was included in </w:t>
      </w:r>
      <w:r w:rsidRPr="00215964">
        <w:rPr>
          <w:i/>
          <w:highlight w:val="yellow"/>
        </w:rPr>
        <w:t>spCellConfig</w:t>
      </w:r>
      <w:r w:rsidRPr="00215964">
        <w:rPr>
          <w:highlight w:val="yellow"/>
        </w:rPr>
        <w:t xml:space="preserve"> of an MCG; or</w:t>
      </w:r>
    </w:p>
    <w:p w14:paraId="5226CC50" w14:textId="77777777" w:rsidR="00E71F35" w:rsidRDefault="00E71F35" w:rsidP="00E71F3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35790556" w14:textId="77777777" w:rsidR="00E71F35" w:rsidRDefault="00E71F35" w:rsidP="00E71F35">
      <w:pPr>
        <w:pStyle w:val="B3"/>
      </w:pPr>
      <w:r>
        <w:t>3&gt;</w:t>
      </w:r>
      <w:r>
        <w:tab/>
        <w:t xml:space="preserve">remove all the entries in the </w:t>
      </w:r>
      <w:r>
        <w:rPr>
          <w:i/>
        </w:rPr>
        <w:t>condReconfigList</w:t>
      </w:r>
      <w:r>
        <w:t xml:space="preserve"> within the MCG and the SCG </w:t>
      </w:r>
      <w:r>
        <w:rPr>
          <w:i/>
        </w:rPr>
        <w:t>VarConditionalReconfig</w:t>
      </w:r>
      <w:r>
        <w:t xml:space="preserve"> </w:t>
      </w:r>
      <w:r w:rsidRPr="00215964">
        <w:rPr>
          <w:highlight w:val="yellow"/>
        </w:rPr>
        <w:t xml:space="preserve">except for the entries in which </w:t>
      </w:r>
      <w:r w:rsidRPr="00215964">
        <w:rPr>
          <w:i/>
          <w:iCs/>
          <w:color w:val="000000"/>
          <w:highlight w:val="yellow"/>
        </w:rPr>
        <w:t>subsequentCondReconfig</w:t>
      </w:r>
      <w:r w:rsidRPr="00215964">
        <w:rPr>
          <w:iCs/>
          <w:color w:val="000000"/>
          <w:highlight w:val="yellow"/>
        </w:rPr>
        <w:t xml:space="preserve"> is present</w:t>
      </w:r>
      <w:r w:rsidRPr="00215964">
        <w:rPr>
          <w:highlight w:val="yellow"/>
        </w:rPr>
        <w:t>, if any;</w:t>
      </w:r>
    </w:p>
    <w:p w14:paraId="65E50D31" w14:textId="3D784CE4" w:rsidR="00E71F35" w:rsidRDefault="00E71F35" w:rsidP="00171A46">
      <w:pPr>
        <w:spacing w:before="120" w:after="0"/>
        <w:jc w:val="left"/>
        <w:rPr>
          <w:bCs/>
        </w:rPr>
      </w:pPr>
      <w:r>
        <w:rPr>
          <w:bCs/>
        </w:rPr>
        <w:t xml:space="preserve"> </w:t>
      </w:r>
    </w:p>
    <w:p w14:paraId="21BE0CC7" w14:textId="008881EA" w:rsidR="00E71F35" w:rsidRDefault="00E71F35" w:rsidP="00E71F35">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D10CB">
        <w:rPr>
          <w:rFonts w:cs="Arial"/>
          <w:u w:val="single"/>
        </w:rPr>
        <w:t>2</w:t>
      </w:r>
      <w:r w:rsidRPr="00A959BB">
        <w:rPr>
          <w:rFonts w:cs="Arial"/>
          <w:u w:val="single"/>
        </w:rPr>
        <w:t>:</w:t>
      </w:r>
      <w:r w:rsidRPr="00A959BB">
        <w:rPr>
          <w:rFonts w:cs="Arial"/>
        </w:rPr>
        <w:tab/>
      </w:r>
      <w:r>
        <w:rPr>
          <w:rFonts w:cs="Arial"/>
          <w:i/>
        </w:rPr>
        <w:t xml:space="preserve">The UE releases all subsequent CPAC configurations upon PCell change (i.e., as in </w:t>
      </w:r>
      <w:r w:rsidR="000F095B">
        <w:rPr>
          <w:rFonts w:cs="Arial"/>
          <w:i/>
        </w:rPr>
        <w:t xml:space="preserve">the </w:t>
      </w:r>
      <w:r>
        <w:rPr>
          <w:rFonts w:cs="Arial"/>
          <w:i/>
        </w:rPr>
        <w:t>legacy</w:t>
      </w:r>
      <w:r w:rsidR="000F095B">
        <w:rPr>
          <w:rFonts w:cs="Arial"/>
          <w:i/>
        </w:rPr>
        <w:t xml:space="preserve"> handling of conditional reconfigurations on PCell change</w:t>
      </w:r>
      <w:r>
        <w:rPr>
          <w:rFonts w:cs="Arial"/>
          <w:i/>
        </w:rPr>
        <w:t>)</w:t>
      </w:r>
    </w:p>
    <w:p w14:paraId="3EFF9076" w14:textId="1AB337A2" w:rsidR="00680C11" w:rsidRDefault="00680C11" w:rsidP="00171A46">
      <w:pPr>
        <w:spacing w:before="120" w:after="0"/>
        <w:jc w:val="left"/>
        <w:rPr>
          <w:bCs/>
        </w:rPr>
      </w:pPr>
      <w:r>
        <w:rPr>
          <w:bCs/>
        </w:rPr>
        <w:t>It has already been agreed in RAN2 that it should be possible to release a CPC candidate/configuration explicitly via RRC reconfiguration procedure, which in our understanding is also possible in rel-17 CPC.</w:t>
      </w:r>
      <w:r w:rsidR="006A51BF">
        <w:rPr>
          <w:bCs/>
        </w:rPr>
        <w:t xml:space="preserve"> </w:t>
      </w:r>
      <w:r>
        <w:rPr>
          <w:bCs/>
        </w:rPr>
        <w:lastRenderedPageBreak/>
        <w:t xml:space="preserve">Requiring the network to explicitly release some CPC configuration is in a way contradictory to the subsequent CPC objectives, which is avoiding the need to reconfigure the UE every time after a CPC. </w:t>
      </w:r>
    </w:p>
    <w:p w14:paraId="444439AE" w14:textId="77777777" w:rsidR="006A51BF" w:rsidRDefault="006A51BF" w:rsidP="006A51BF">
      <w:pPr>
        <w:pStyle w:val="Observation"/>
        <w:numPr>
          <w:ilvl w:val="0"/>
          <w:numId w:val="0"/>
        </w:numPr>
        <w:tabs>
          <w:tab w:val="clear" w:pos="1701"/>
          <w:tab w:val="left" w:pos="1350"/>
        </w:tabs>
        <w:ind w:left="1350" w:hanging="1350"/>
        <w:jc w:val="left"/>
        <w:rPr>
          <w:rFonts w:cs="Arial"/>
          <w:b w:val="0"/>
          <w:bCs w:val="0"/>
        </w:rPr>
      </w:pPr>
    </w:p>
    <w:p w14:paraId="0FFD39B4" w14:textId="099F062D" w:rsidR="006A51BF" w:rsidRPr="00983DC2" w:rsidRDefault="006A51BF" w:rsidP="006A51BF">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w:t>
      </w:r>
      <w:r w:rsidR="00482380">
        <w:rPr>
          <w:rFonts w:cs="Arial"/>
          <w:b w:val="0"/>
          <w:bCs w:val="0"/>
          <w:i/>
          <w:iCs/>
        </w:rPr>
        <w:t>AC (i.e., performing subsequent CPACs without the need for RRC reconfigurations).</w:t>
      </w:r>
    </w:p>
    <w:p w14:paraId="5C001E33" w14:textId="0309C6E5" w:rsidR="00482380" w:rsidRDefault="00482380" w:rsidP="00482380">
      <w:pPr>
        <w:spacing w:before="120" w:after="0"/>
        <w:jc w:val="left"/>
        <w:rPr>
          <w:bCs/>
        </w:rPr>
      </w:pPr>
      <w:r>
        <w:rPr>
          <w:bCs/>
        </w:rPr>
        <w:t xml:space="preserve">Thus, it should be possible to pre-configure </w:t>
      </w:r>
      <w:r w:rsidR="00F849CB">
        <w:rPr>
          <w:bCs/>
        </w:rPr>
        <w:t xml:space="preserve">information in </w:t>
      </w:r>
      <w:r>
        <w:rPr>
          <w:bCs/>
        </w:rPr>
        <w:t xml:space="preserve">the UE </w:t>
      </w:r>
      <w:r w:rsidR="00F849CB">
        <w:rPr>
          <w:bCs/>
        </w:rPr>
        <w:t xml:space="preserve">regarding </w:t>
      </w:r>
      <w:r>
        <w:rPr>
          <w:bCs/>
        </w:rPr>
        <w:t xml:space="preserve">which CPAC configurations can be maintained or should be released after a certain CPAC configuration is executed. </w:t>
      </w:r>
    </w:p>
    <w:p w14:paraId="3687F9F4" w14:textId="77777777" w:rsidR="00482380" w:rsidRDefault="00482380" w:rsidP="00171A46">
      <w:pPr>
        <w:spacing w:before="120" w:after="0"/>
        <w:jc w:val="left"/>
        <w:rPr>
          <w:bCs/>
        </w:rPr>
      </w:pPr>
    </w:p>
    <w:p w14:paraId="49F36B09" w14:textId="52A2CA69" w:rsidR="00E200E5" w:rsidRDefault="00E200E5" w:rsidP="00E200E5">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D10CB">
        <w:rPr>
          <w:rFonts w:cs="Arial"/>
          <w:u w:val="single"/>
        </w:rPr>
        <w:t>3</w:t>
      </w:r>
      <w:r w:rsidRPr="00A959BB">
        <w:rPr>
          <w:rFonts w:cs="Arial"/>
          <w:u w:val="single"/>
        </w:rPr>
        <w:t>:</w:t>
      </w:r>
      <w:r w:rsidRPr="00A959BB">
        <w:rPr>
          <w:rFonts w:cs="Arial"/>
        </w:rPr>
        <w:tab/>
      </w:r>
      <w:r w:rsidR="006A51BF">
        <w:rPr>
          <w:rFonts w:cs="Arial"/>
          <w:i/>
        </w:rPr>
        <w:t>T</w:t>
      </w:r>
      <w:r w:rsidR="008D3872">
        <w:rPr>
          <w:rFonts w:cs="Arial"/>
          <w:i/>
        </w:rPr>
        <w:t xml:space="preserve">he </w:t>
      </w:r>
      <w:r w:rsidR="006A51BF">
        <w:rPr>
          <w:rFonts w:cs="Arial"/>
          <w:i/>
        </w:rPr>
        <w:t xml:space="preserve">network </w:t>
      </w:r>
      <w:r w:rsidR="00AE63BD">
        <w:rPr>
          <w:rFonts w:cs="Arial"/>
          <w:i/>
        </w:rPr>
        <w:t>can</w:t>
      </w:r>
      <w:r w:rsidR="006A51BF">
        <w:rPr>
          <w:rFonts w:cs="Arial"/>
          <w:i/>
        </w:rPr>
        <w:t xml:space="preserve"> pre-configure the </w:t>
      </w:r>
      <w:r w:rsidR="00FA29B8">
        <w:rPr>
          <w:rFonts w:cs="Arial"/>
          <w:i/>
        </w:rPr>
        <w:t xml:space="preserve">UE </w:t>
      </w:r>
      <w:r w:rsidR="006A51BF">
        <w:rPr>
          <w:rFonts w:cs="Arial"/>
          <w:i/>
        </w:rPr>
        <w:t>with information regarding the handling of the remaining CPAC configurations when one CPAC configuration is executed (</w:t>
      </w:r>
      <w:r w:rsidR="00983DC2">
        <w:rPr>
          <w:rFonts w:cs="Arial"/>
          <w:i/>
        </w:rPr>
        <w:t>e.g.</w:t>
      </w:r>
      <w:r w:rsidR="006A51BF">
        <w:rPr>
          <w:rFonts w:cs="Arial"/>
          <w:i/>
        </w:rPr>
        <w:t>, which CPAC configurations are released, which are kept</w:t>
      </w:r>
      <w:r w:rsidR="00983DC2">
        <w:rPr>
          <w:rFonts w:cs="Arial"/>
          <w:i/>
        </w:rPr>
        <w:t>, etc.,)</w:t>
      </w:r>
      <w:r w:rsidR="006A51BF">
        <w:rPr>
          <w:rFonts w:cs="Arial"/>
          <w:i/>
        </w:rPr>
        <w:t xml:space="preserve">. </w:t>
      </w:r>
      <w:r w:rsidR="00680C11">
        <w:rPr>
          <w:rFonts w:cs="Arial"/>
          <w:i/>
        </w:rPr>
        <w:t xml:space="preserve"> </w:t>
      </w:r>
    </w:p>
    <w:p w14:paraId="55B3D1BC" w14:textId="77777777" w:rsidR="00BD10CB" w:rsidRDefault="00950565" w:rsidP="00950565">
      <w:pPr>
        <w:spacing w:before="120" w:after="0"/>
        <w:rPr>
          <w:bCs/>
        </w:rPr>
      </w:pPr>
      <w:r>
        <w:rPr>
          <w:bCs/>
        </w:rPr>
        <w:t>Keeping the network resources reserved all the time for all the CP</w:t>
      </w:r>
      <w:r w:rsidR="005A4979">
        <w:rPr>
          <w:bCs/>
        </w:rPr>
        <w:t>A</w:t>
      </w:r>
      <w:r>
        <w:rPr>
          <w:bCs/>
        </w:rPr>
        <w:t>C configurations may not be feasible or desirable. Also, currently, there is a limitation of a maximum of 8 PCell/PSCell candidates that can be configured at the same time. A more flexible solution to reduce the signalling is to enable CP</w:t>
      </w:r>
      <w:r w:rsidR="00BD10CB">
        <w:rPr>
          <w:bCs/>
        </w:rPr>
        <w:t>A</w:t>
      </w:r>
      <w:r>
        <w:rPr>
          <w:bCs/>
        </w:rPr>
        <w:t>C configurations that are not always active. When the CP</w:t>
      </w:r>
      <w:r w:rsidR="00BD10CB">
        <w:rPr>
          <w:bCs/>
        </w:rPr>
        <w:t>A</w:t>
      </w:r>
      <w:r>
        <w:rPr>
          <w:bCs/>
        </w:rPr>
        <w:t xml:space="preserve">C configuration is not active, the UE does not monitor the associated triggering conditions and network does not have to reserve the resources for the UE at the target. That way, </w:t>
      </w:r>
      <w:r w:rsidR="00234CCF">
        <w:rPr>
          <w:bCs/>
        </w:rPr>
        <w:t xml:space="preserve">many </w:t>
      </w:r>
      <w:r w:rsidR="00525828">
        <w:rPr>
          <w:bCs/>
        </w:rPr>
        <w:t>CP</w:t>
      </w:r>
      <w:r w:rsidR="00BD10CB">
        <w:rPr>
          <w:bCs/>
        </w:rPr>
        <w:t>A</w:t>
      </w:r>
      <w:r w:rsidR="00525828">
        <w:rPr>
          <w:bCs/>
        </w:rPr>
        <w:t>C</w:t>
      </w:r>
      <w:r>
        <w:rPr>
          <w:bCs/>
        </w:rPr>
        <w:t xml:space="preserve"> </w:t>
      </w:r>
      <w:r w:rsidR="00234CCF">
        <w:rPr>
          <w:bCs/>
        </w:rPr>
        <w:t xml:space="preserve">configurations </w:t>
      </w:r>
      <w:r>
        <w:rPr>
          <w:bCs/>
        </w:rPr>
        <w:t xml:space="preserve">can be </w:t>
      </w:r>
      <w:r w:rsidR="00525828">
        <w:rPr>
          <w:bCs/>
        </w:rPr>
        <w:t>provided to the UE</w:t>
      </w:r>
      <w:r>
        <w:rPr>
          <w:bCs/>
        </w:rPr>
        <w:t xml:space="preserve">, and network can ensure </w:t>
      </w:r>
      <w:r w:rsidR="00525828">
        <w:rPr>
          <w:bCs/>
        </w:rPr>
        <w:t xml:space="preserve">not more than </w:t>
      </w:r>
      <w:r>
        <w:rPr>
          <w:bCs/>
        </w:rPr>
        <w:t>8 of them</w:t>
      </w:r>
      <w:r w:rsidR="00E1206C">
        <w:rPr>
          <w:bCs/>
        </w:rPr>
        <w:t xml:space="preserve"> are active at the same time</w:t>
      </w:r>
      <w:r>
        <w:rPr>
          <w:bCs/>
        </w:rPr>
        <w:t xml:space="preserve"> </w:t>
      </w:r>
      <w:r w:rsidR="00525828">
        <w:rPr>
          <w:bCs/>
        </w:rPr>
        <w:t xml:space="preserve">(or not more than what the UE can </w:t>
      </w:r>
      <w:r w:rsidR="005A4979">
        <w:rPr>
          <w:bCs/>
        </w:rPr>
        <w:t>support if</w:t>
      </w:r>
      <w:r w:rsidR="00525828">
        <w:rPr>
          <w:bCs/>
        </w:rPr>
        <w:t xml:space="preserve"> it is less than 8)</w:t>
      </w:r>
      <w:r w:rsidR="00E1206C">
        <w:rPr>
          <w:bCs/>
        </w:rPr>
        <w:t>.</w:t>
      </w:r>
      <w:r>
        <w:rPr>
          <w:bCs/>
        </w:rPr>
        <w:t xml:space="preserve"> </w:t>
      </w:r>
    </w:p>
    <w:p w14:paraId="69823BFD" w14:textId="034EE0D9" w:rsidR="00BD10CB" w:rsidRDefault="00BD10CB" w:rsidP="00950565">
      <w:pPr>
        <w:spacing w:before="120" w:after="0"/>
        <w:rPr>
          <w:bCs/>
        </w:rPr>
      </w:pPr>
      <w:r>
        <w:rPr>
          <w:bCs/>
        </w:rPr>
        <w:t xml:space="preserve">It has already been </w:t>
      </w:r>
      <w:r w:rsidR="002E3AE4">
        <w:rPr>
          <w:bCs/>
        </w:rPr>
        <w:t>agreed</w:t>
      </w:r>
      <w:r>
        <w:rPr>
          <w:bCs/>
        </w:rPr>
        <w:t xml:space="preserve"> that the current PSCell can be a CPC candidate and the UE </w:t>
      </w:r>
      <w:r w:rsidRPr="00BD10CB">
        <w:rPr>
          <w:bCs/>
        </w:rPr>
        <w:t xml:space="preserve">shall skip the condition evaluation for a </w:t>
      </w:r>
      <w:r>
        <w:rPr>
          <w:bCs/>
        </w:rPr>
        <w:t xml:space="preserve">CPC configuration where the </w:t>
      </w:r>
      <w:r w:rsidRPr="00BD10CB">
        <w:rPr>
          <w:bCs/>
        </w:rPr>
        <w:t xml:space="preserve">candidate </w:t>
      </w:r>
      <w:r>
        <w:rPr>
          <w:bCs/>
        </w:rPr>
        <w:t>is the current PCell. Having the possibility to deactivate/activate a CPAC configuration will make the modelling of this very straightforward (e.g., when   a CPAC concerning PSCell 1 is executed, that CPAC configuration is deactivated, and when a subsequent CPAC is performed towards PSCell2, the CPAC configuration concerning PSCell 1 is activated again).</w:t>
      </w:r>
    </w:p>
    <w:p w14:paraId="66D36615" w14:textId="77777777" w:rsidR="00230656" w:rsidRDefault="00230656" w:rsidP="00230656">
      <w:pPr>
        <w:pStyle w:val="Observation"/>
        <w:numPr>
          <w:ilvl w:val="0"/>
          <w:numId w:val="0"/>
        </w:numPr>
        <w:tabs>
          <w:tab w:val="clear" w:pos="1701"/>
        </w:tabs>
        <w:ind w:left="1701" w:hanging="1701"/>
        <w:jc w:val="left"/>
        <w:rPr>
          <w:rFonts w:cs="Arial"/>
          <w:u w:val="single"/>
        </w:rPr>
      </w:pPr>
    </w:p>
    <w:p w14:paraId="570028B4" w14:textId="751DF0F7" w:rsidR="00525828" w:rsidRDefault="00230656"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D10CB">
        <w:rPr>
          <w:rFonts w:cs="Arial"/>
          <w:u w:val="single"/>
        </w:rPr>
        <w:t>4</w:t>
      </w:r>
      <w:r w:rsidRPr="00A959BB">
        <w:rPr>
          <w:rFonts w:cs="Arial"/>
          <w:u w:val="single"/>
        </w:rPr>
        <w:t>:</w:t>
      </w:r>
      <w:r w:rsidRPr="00A959BB">
        <w:rPr>
          <w:rFonts w:cs="Arial"/>
        </w:rPr>
        <w:tab/>
      </w:r>
      <w:r>
        <w:rPr>
          <w:rFonts w:cs="Arial"/>
          <w:i/>
        </w:rPr>
        <w:t xml:space="preserve">A UE can be configured with </w:t>
      </w:r>
      <w:r w:rsidR="00525828">
        <w:rPr>
          <w:rFonts w:cs="Arial"/>
          <w:i/>
        </w:rPr>
        <w:t xml:space="preserve">multiple </w:t>
      </w:r>
      <w:r>
        <w:rPr>
          <w:rFonts w:cs="Arial"/>
          <w:i/>
        </w:rPr>
        <w:t>CP</w:t>
      </w:r>
      <w:r w:rsidR="005A4979">
        <w:rPr>
          <w:rFonts w:cs="Arial"/>
          <w:i/>
        </w:rPr>
        <w:t>A</w:t>
      </w:r>
      <w:r>
        <w:rPr>
          <w:rFonts w:cs="Arial"/>
          <w:i/>
        </w:rPr>
        <w:t xml:space="preserve">C configurations that can be active or inactive. </w:t>
      </w:r>
    </w:p>
    <w:p w14:paraId="3C26674B" w14:textId="4B307EC5" w:rsidR="00525828" w:rsidRDefault="00525828"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D10CB">
        <w:rPr>
          <w:rFonts w:cs="Arial"/>
          <w:u w:val="single"/>
        </w:rPr>
        <w:t>5</w:t>
      </w:r>
      <w:r w:rsidRPr="00A959BB">
        <w:rPr>
          <w:rFonts w:cs="Arial"/>
          <w:u w:val="single"/>
        </w:rPr>
        <w:t>:</w:t>
      </w:r>
      <w:r w:rsidRPr="00A959BB">
        <w:rPr>
          <w:rFonts w:cs="Arial"/>
        </w:rPr>
        <w:tab/>
      </w:r>
      <w:r w:rsidR="00230656">
        <w:rPr>
          <w:rFonts w:cs="Arial"/>
          <w:i/>
        </w:rPr>
        <w:t>When a CP</w:t>
      </w:r>
      <w:r w:rsidR="005A4979">
        <w:rPr>
          <w:rFonts w:cs="Arial"/>
          <w:i/>
        </w:rPr>
        <w:t>A</w:t>
      </w:r>
      <w:r w:rsidR="00230656">
        <w:rPr>
          <w:rFonts w:cs="Arial"/>
          <w:i/>
        </w:rPr>
        <w:t>C configuration is inactive, the UE does not monitor the</w:t>
      </w:r>
      <w:r w:rsidR="00923A0F">
        <w:rPr>
          <w:rFonts w:cs="Arial"/>
          <w:i/>
        </w:rPr>
        <w:t xml:space="preserve"> </w:t>
      </w:r>
      <w:r w:rsidR="00230656">
        <w:rPr>
          <w:rFonts w:cs="Arial"/>
          <w:i/>
        </w:rPr>
        <w:t xml:space="preserve">triggering conditions associated with </w:t>
      </w:r>
      <w:r>
        <w:rPr>
          <w:rFonts w:cs="Arial"/>
          <w:i/>
        </w:rPr>
        <w:t>it</w:t>
      </w:r>
      <w:r w:rsidR="00230656">
        <w:rPr>
          <w:rFonts w:cs="Arial"/>
          <w:i/>
        </w:rPr>
        <w:t xml:space="preserve">. </w:t>
      </w:r>
    </w:p>
    <w:p w14:paraId="7BB13405" w14:textId="49470993" w:rsidR="0044488E" w:rsidRDefault="0044488E" w:rsidP="0044488E">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D10CB">
        <w:rPr>
          <w:rFonts w:cs="Arial"/>
          <w:u w:val="single"/>
        </w:rPr>
        <w:t>6</w:t>
      </w:r>
      <w:r w:rsidRPr="00A959BB">
        <w:rPr>
          <w:rFonts w:cs="Arial"/>
          <w:u w:val="single"/>
        </w:rPr>
        <w:t>:</w:t>
      </w:r>
      <w:r w:rsidRPr="00A959BB">
        <w:rPr>
          <w:rFonts w:cs="Arial"/>
        </w:rPr>
        <w:tab/>
      </w:r>
      <w:r>
        <w:rPr>
          <w:rFonts w:cs="Arial"/>
          <w:i/>
        </w:rPr>
        <w:t xml:space="preserve">The network can explicitly activate/deactivate a CPAC configuration. </w:t>
      </w:r>
    </w:p>
    <w:p w14:paraId="2EAD08FB" w14:textId="6AD4343E" w:rsidR="0044488E" w:rsidRDefault="00525828" w:rsidP="00331D0F">
      <w:pPr>
        <w:pStyle w:val="Observation"/>
        <w:numPr>
          <w:ilvl w:val="0"/>
          <w:numId w:val="0"/>
        </w:numPr>
        <w:tabs>
          <w:tab w:val="clear" w:pos="1701"/>
        </w:tabs>
        <w:ind w:left="1701" w:hanging="1701"/>
        <w:jc w:val="left"/>
        <w:rPr>
          <w:rFonts w:cs="Arial"/>
          <w:i/>
        </w:rPr>
      </w:pPr>
      <w:r>
        <w:rPr>
          <w:rFonts w:cs="Arial"/>
          <w:u w:val="single"/>
        </w:rPr>
        <w:t xml:space="preserve">Proposal </w:t>
      </w:r>
      <w:r w:rsidR="00BD10CB">
        <w:rPr>
          <w:rFonts w:cs="Arial"/>
          <w:u w:val="single"/>
        </w:rPr>
        <w:t>7</w:t>
      </w:r>
      <w:r>
        <w:rPr>
          <w:rFonts w:cs="Arial"/>
          <w:u w:val="single"/>
        </w:rPr>
        <w:t>:</w:t>
      </w:r>
      <w:r>
        <w:rPr>
          <w:rFonts w:cs="Arial"/>
          <w:i/>
        </w:rPr>
        <w:tab/>
      </w:r>
      <w:r w:rsidR="00BD10CB">
        <w:rPr>
          <w:rFonts w:cs="Arial"/>
          <w:i/>
        </w:rPr>
        <w:t xml:space="preserve">When the CPAC conditions for a target PSCell are fulfilled, the UE executes that CPAC configuration and deactivates </w:t>
      </w:r>
      <w:r w:rsidR="002E3AE4">
        <w:rPr>
          <w:rFonts w:cs="Arial"/>
          <w:i/>
        </w:rPr>
        <w:t>it</w:t>
      </w:r>
      <w:r w:rsidR="00BD10CB">
        <w:rPr>
          <w:rFonts w:cs="Arial"/>
          <w:i/>
        </w:rPr>
        <w:t xml:space="preserve">. </w:t>
      </w:r>
    </w:p>
    <w:p w14:paraId="219B70F3" w14:textId="0F4720C8" w:rsidR="0044488E" w:rsidRDefault="0044488E" w:rsidP="0044488E">
      <w:pPr>
        <w:pStyle w:val="Observation"/>
        <w:numPr>
          <w:ilvl w:val="0"/>
          <w:numId w:val="0"/>
        </w:numPr>
        <w:tabs>
          <w:tab w:val="clear" w:pos="1701"/>
        </w:tabs>
        <w:ind w:left="1701" w:hanging="1701"/>
        <w:jc w:val="left"/>
        <w:rPr>
          <w:rFonts w:cs="Arial"/>
          <w:i/>
        </w:rPr>
      </w:pPr>
      <w:r>
        <w:rPr>
          <w:rFonts w:cs="Arial"/>
          <w:u w:val="single"/>
        </w:rPr>
        <w:t xml:space="preserve">Proposal </w:t>
      </w:r>
      <w:r w:rsidR="00BD10CB">
        <w:rPr>
          <w:rFonts w:cs="Arial"/>
          <w:u w:val="single"/>
        </w:rPr>
        <w:t>8</w:t>
      </w:r>
      <w:r>
        <w:rPr>
          <w:rFonts w:cs="Arial"/>
          <w:u w:val="single"/>
        </w:rPr>
        <w:t>:</w:t>
      </w:r>
      <w:r>
        <w:rPr>
          <w:rFonts w:cs="Arial"/>
          <w:i/>
        </w:rPr>
        <w:tab/>
        <w:t xml:space="preserve">The UE implicitly activates a CPAC configuration </w:t>
      </w:r>
      <w:r w:rsidR="00430C45">
        <w:rPr>
          <w:rFonts w:cs="Arial"/>
          <w:i/>
        </w:rPr>
        <w:t xml:space="preserve">associated with the source PSCell </w:t>
      </w:r>
      <w:r>
        <w:rPr>
          <w:rFonts w:cs="Arial"/>
          <w:i/>
        </w:rPr>
        <w:t xml:space="preserve">upon </w:t>
      </w:r>
      <w:r w:rsidR="00430C45">
        <w:rPr>
          <w:rFonts w:cs="Arial"/>
          <w:i/>
        </w:rPr>
        <w:t>executing a subsequent CPAC to a target PSCell</w:t>
      </w:r>
      <w:r>
        <w:rPr>
          <w:rFonts w:cs="Arial"/>
          <w:i/>
        </w:rPr>
        <w:t>.</w:t>
      </w:r>
    </w:p>
    <w:p w14:paraId="03D2867A" w14:textId="18ABD865" w:rsidR="00CA7B38" w:rsidRDefault="00041AD0" w:rsidP="00041AD0">
      <w:pPr>
        <w:spacing w:before="120" w:after="0"/>
        <w:jc w:val="left"/>
        <w:rPr>
          <w:bCs/>
        </w:rPr>
      </w:pPr>
      <w:r>
        <w:rPr>
          <w:bCs/>
        </w:rPr>
        <w:t>One issue that needs clarification is if the execution conditions for subsequent CPAC are dependent on the source PSCell. That is, can the threshold (e.g., A3 threshold</w:t>
      </w:r>
      <w:r w:rsidR="00CA7B38">
        <w:rPr>
          <w:bCs/>
        </w:rPr>
        <w:t>_1</w:t>
      </w:r>
      <w:r>
        <w:rPr>
          <w:bCs/>
        </w:rPr>
        <w:t>) to perform a subsequent CPC from source PSCell1 to target PSCell2 can be different from the threshold</w:t>
      </w:r>
      <w:r w:rsidR="00CA7B38">
        <w:rPr>
          <w:bCs/>
        </w:rPr>
        <w:t xml:space="preserve"> (threshold_2)</w:t>
      </w:r>
      <w:r>
        <w:rPr>
          <w:bCs/>
        </w:rPr>
        <w:t xml:space="preserve"> to perform a subsequent CPC from source PSCell3 to target PSCell2? In our understanding, allowing such flexibility will allow the network to consider aspects such as the capability and current conditions of the PSCells in configuring the subsequent CPC. In the above example, if </w:t>
      </w:r>
      <w:r w:rsidR="00CA7B38">
        <w:rPr>
          <w:bCs/>
        </w:rPr>
        <w:t xml:space="preserve">PSCell1 and PSCell2 have similar capability/capacity, while PSCell3 has a higher capability/capacity, threshold_2 can be configured higher than threshold_1 </w:t>
      </w:r>
      <w:r>
        <w:rPr>
          <w:bCs/>
        </w:rPr>
        <w:t>t</w:t>
      </w:r>
      <w:r w:rsidR="00CA7B38">
        <w:rPr>
          <w:bCs/>
        </w:rPr>
        <w:t>o maximize the UE’s stay in the high-capacity cell.</w:t>
      </w:r>
    </w:p>
    <w:p w14:paraId="4E456CA3" w14:textId="77777777" w:rsidR="00CA7B38" w:rsidRDefault="00CA7B38" w:rsidP="00CA7B38">
      <w:pPr>
        <w:pStyle w:val="Observation"/>
        <w:numPr>
          <w:ilvl w:val="0"/>
          <w:numId w:val="0"/>
        </w:numPr>
        <w:tabs>
          <w:tab w:val="clear" w:pos="1701"/>
          <w:tab w:val="left" w:pos="1350"/>
        </w:tabs>
        <w:ind w:left="1350" w:hanging="1350"/>
        <w:jc w:val="left"/>
        <w:rPr>
          <w:rFonts w:cs="Arial"/>
          <w:b w:val="0"/>
          <w:bCs w:val="0"/>
          <w:i/>
          <w:iCs/>
        </w:rPr>
      </w:pPr>
    </w:p>
    <w:p w14:paraId="5C002BA9" w14:textId="525402B5" w:rsidR="00CA7B38" w:rsidRDefault="00CA7B38" w:rsidP="00CA7B38">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w:t>
      </w:r>
      <w:r>
        <w:rPr>
          <w:rFonts w:cs="Arial"/>
          <w:b w:val="0"/>
          <w:bCs w:val="0"/>
          <w:i/>
          <w:iCs/>
        </w:rPr>
        <w:t>2</w:t>
      </w:r>
      <w:r w:rsidRPr="00983DC2">
        <w:rPr>
          <w:rFonts w:cs="Arial"/>
          <w:b w:val="0"/>
          <w:bCs w:val="0"/>
          <w:i/>
          <w:iCs/>
        </w:rPr>
        <w:t xml:space="preserve">: </w:t>
      </w:r>
      <w:r>
        <w:rPr>
          <w:rFonts w:cs="Arial"/>
          <w:b w:val="0"/>
          <w:bCs w:val="0"/>
          <w:i/>
          <w:iCs/>
        </w:rPr>
        <w:t xml:space="preserve">Having multiple execution conditions that are dependent on the source PSCell will enable the network to consider aspects such as the capability/capacity of the target PSCells and implicitly prioritize certain subsequent CPCs. </w:t>
      </w:r>
    </w:p>
    <w:p w14:paraId="52FAB91C" w14:textId="77777777" w:rsidR="002B49F6" w:rsidRPr="00983DC2" w:rsidRDefault="002B49F6" w:rsidP="00CA7B38">
      <w:pPr>
        <w:pStyle w:val="Observation"/>
        <w:numPr>
          <w:ilvl w:val="0"/>
          <w:numId w:val="0"/>
        </w:numPr>
        <w:tabs>
          <w:tab w:val="clear" w:pos="1701"/>
          <w:tab w:val="left" w:pos="1350"/>
        </w:tabs>
        <w:ind w:left="1350" w:hanging="1350"/>
        <w:jc w:val="left"/>
        <w:rPr>
          <w:rFonts w:cs="Arial"/>
          <w:b w:val="0"/>
          <w:bCs w:val="0"/>
          <w:i/>
          <w:iCs/>
        </w:rPr>
      </w:pPr>
    </w:p>
    <w:p w14:paraId="19C7D139" w14:textId="17550D02" w:rsidR="00041AD0" w:rsidRDefault="00041AD0" w:rsidP="00041AD0">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CA7B38">
        <w:rPr>
          <w:rFonts w:cs="Arial"/>
          <w:u w:val="single"/>
        </w:rPr>
        <w:t>9</w:t>
      </w:r>
      <w:r w:rsidRPr="00A959BB">
        <w:rPr>
          <w:rFonts w:cs="Arial"/>
          <w:u w:val="single"/>
        </w:rPr>
        <w:t>:</w:t>
      </w:r>
      <w:r w:rsidRPr="00A959BB">
        <w:rPr>
          <w:rFonts w:cs="Arial"/>
        </w:rPr>
        <w:tab/>
      </w:r>
      <w:r w:rsidR="00CA7B38">
        <w:rPr>
          <w:rFonts w:cs="Arial"/>
          <w:i/>
        </w:rPr>
        <w:t>Multiple CPAC execution conditions can be configured for a given candidate target PSCell (</w:t>
      </w:r>
      <w:r w:rsidR="002E3AE4">
        <w:rPr>
          <w:rFonts w:cs="Arial"/>
          <w:i/>
        </w:rPr>
        <w:t>e</w:t>
      </w:r>
      <w:r w:rsidR="00CA7B38">
        <w:rPr>
          <w:rFonts w:cs="Arial"/>
          <w:i/>
        </w:rPr>
        <w:t>.g., each associated with a given source PSCell).</w:t>
      </w:r>
    </w:p>
    <w:p w14:paraId="7BF5378D" w14:textId="77777777" w:rsidR="00041AD0" w:rsidRDefault="00041AD0" w:rsidP="0044488E">
      <w:pPr>
        <w:pStyle w:val="Observation"/>
        <w:numPr>
          <w:ilvl w:val="0"/>
          <w:numId w:val="0"/>
        </w:numPr>
        <w:tabs>
          <w:tab w:val="clear" w:pos="1701"/>
        </w:tabs>
        <w:ind w:left="1701" w:hanging="1701"/>
        <w:jc w:val="left"/>
        <w:rPr>
          <w:rFonts w:cs="Arial"/>
          <w:i/>
        </w:rPr>
      </w:pPr>
    </w:p>
    <w:p w14:paraId="3D4AB270" w14:textId="77777777" w:rsidR="00687B3C" w:rsidRDefault="00687B3C" w:rsidP="00687B3C">
      <w:pPr>
        <w:pStyle w:val="Heading1"/>
        <w:ind w:hanging="792"/>
      </w:pPr>
      <w:r w:rsidRPr="002C542E">
        <w:lastRenderedPageBreak/>
        <w:t>Conclusion</w:t>
      </w:r>
    </w:p>
    <w:p w14:paraId="75AC3AC4" w14:textId="13EF0053" w:rsidR="00687B3C" w:rsidRDefault="00687B3C" w:rsidP="00687B3C">
      <w:pPr>
        <w:tabs>
          <w:tab w:val="left" w:pos="0"/>
        </w:tabs>
        <w:jc w:val="left"/>
        <w:rPr>
          <w:rFonts w:cs="Arial"/>
        </w:rPr>
      </w:pPr>
      <w:r w:rsidRPr="007C505D">
        <w:rPr>
          <w:rFonts w:cs="Arial"/>
        </w:rPr>
        <w:t xml:space="preserve">In this contribution, </w:t>
      </w:r>
      <w:r w:rsidR="00E1206C">
        <w:rPr>
          <w:rFonts w:cs="Arial"/>
        </w:rPr>
        <w:t xml:space="preserve">the following </w:t>
      </w:r>
      <w:r w:rsidR="005A4979">
        <w:rPr>
          <w:rFonts w:cs="Arial"/>
        </w:rPr>
        <w:t xml:space="preserve">observations and proposals </w:t>
      </w:r>
      <w:r w:rsidR="000C74D5">
        <w:rPr>
          <w:rFonts w:cs="Arial"/>
        </w:rPr>
        <w:t>are</w:t>
      </w:r>
      <w:r w:rsidR="00E1206C">
        <w:rPr>
          <w:rFonts w:cs="Arial"/>
        </w:rPr>
        <w:t xml:space="preserve"> </w:t>
      </w:r>
      <w:r w:rsidR="005A4979">
        <w:rPr>
          <w:rFonts w:cs="Arial"/>
        </w:rPr>
        <w:t>made</w:t>
      </w:r>
      <w:r w:rsidR="002B49F6">
        <w:rPr>
          <w:rFonts w:cs="Arial"/>
        </w:rPr>
        <w:t xml:space="preserve"> regarding some of the open issues regarding subsequent CPAC:</w:t>
      </w:r>
    </w:p>
    <w:p w14:paraId="03BFCDB3" w14:textId="77777777" w:rsidR="005F4205" w:rsidRDefault="005F4205" w:rsidP="00687B3C">
      <w:pPr>
        <w:tabs>
          <w:tab w:val="left" w:pos="0"/>
        </w:tabs>
        <w:jc w:val="left"/>
        <w:rPr>
          <w:rFonts w:cs="Arial"/>
        </w:rPr>
      </w:pPr>
    </w:p>
    <w:p w14:paraId="4047BBC3" w14:textId="77777777" w:rsidR="005F4205" w:rsidRDefault="005F4205" w:rsidP="005F4205">
      <w:pPr>
        <w:pStyle w:val="Observation"/>
        <w:numPr>
          <w:ilvl w:val="0"/>
          <w:numId w:val="0"/>
        </w:numPr>
        <w:tabs>
          <w:tab w:val="clear" w:pos="1701"/>
          <w:tab w:val="left" w:pos="1350"/>
        </w:tabs>
        <w:ind w:left="1350" w:hanging="1350"/>
        <w:jc w:val="left"/>
        <w:rPr>
          <w:rFonts w:cs="Arial"/>
          <w:b w:val="0"/>
          <w:bCs w:val="0"/>
          <w:i/>
          <w:iCs/>
        </w:rPr>
      </w:pPr>
      <w:r w:rsidRPr="00EA7CF1">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CPAC (i.e., performing subsequent CPACs without the need for RRC reconfigurations).</w:t>
      </w:r>
    </w:p>
    <w:p w14:paraId="73511AD9" w14:textId="77777777" w:rsidR="002B49F6" w:rsidRDefault="002B49F6" w:rsidP="002B49F6">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w:t>
      </w:r>
      <w:r>
        <w:rPr>
          <w:rFonts w:cs="Arial"/>
          <w:b w:val="0"/>
          <w:bCs w:val="0"/>
          <w:i/>
          <w:iCs/>
        </w:rPr>
        <w:t>2</w:t>
      </w:r>
      <w:r w:rsidRPr="00983DC2">
        <w:rPr>
          <w:rFonts w:cs="Arial"/>
          <w:b w:val="0"/>
          <w:bCs w:val="0"/>
          <w:i/>
          <w:iCs/>
        </w:rPr>
        <w:t xml:space="preserve">: </w:t>
      </w:r>
      <w:r>
        <w:rPr>
          <w:rFonts w:cs="Arial"/>
          <w:b w:val="0"/>
          <w:bCs w:val="0"/>
          <w:i/>
          <w:iCs/>
        </w:rPr>
        <w:t xml:space="preserve">Having multiple execution conditions that are dependent on the source PSCell will enable the network to consider aspects such as the capability/capacity of the target PSCells and implicitly prioritize certain subsequent CPCs. </w:t>
      </w:r>
    </w:p>
    <w:p w14:paraId="6D3CD02B" w14:textId="77777777" w:rsidR="002B49F6" w:rsidRDefault="002B49F6" w:rsidP="005F4205">
      <w:pPr>
        <w:pStyle w:val="Observation"/>
        <w:numPr>
          <w:ilvl w:val="0"/>
          <w:numId w:val="0"/>
        </w:numPr>
        <w:tabs>
          <w:tab w:val="clear" w:pos="1701"/>
          <w:tab w:val="left" w:pos="1350"/>
        </w:tabs>
        <w:ind w:left="1350" w:hanging="1350"/>
        <w:jc w:val="left"/>
        <w:rPr>
          <w:rFonts w:cs="Arial"/>
          <w:b w:val="0"/>
          <w:bCs w:val="0"/>
          <w:i/>
          <w:iCs/>
        </w:rPr>
      </w:pPr>
    </w:p>
    <w:p w14:paraId="3AA13880"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sidRPr="00447C80">
        <w:rPr>
          <w:rFonts w:cs="Arial"/>
          <w:i/>
        </w:rPr>
        <w:t xml:space="preserve">The reference configuration for </w:t>
      </w:r>
      <w:r>
        <w:rPr>
          <w:rFonts w:cs="Arial"/>
          <w:i/>
        </w:rPr>
        <w:t>subsequent CPAC may optionally contain an MCG configuration</w:t>
      </w:r>
      <w:r w:rsidRPr="00447C80">
        <w:rPr>
          <w:rFonts w:cs="Arial"/>
          <w:i/>
        </w:rPr>
        <w:t>.</w:t>
      </w:r>
    </w:p>
    <w:p w14:paraId="22FF04AF"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rPr>
        <w:t>The UE releases all subsequent CPAC configurations upon PCell change (i.e., as in the legacy handling of conditional reconfigurations on PCell change)</w:t>
      </w:r>
    </w:p>
    <w:p w14:paraId="3B2E854C"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3</w:t>
      </w:r>
      <w:r w:rsidRPr="00A959BB">
        <w:rPr>
          <w:rFonts w:cs="Arial"/>
          <w:u w:val="single"/>
        </w:rPr>
        <w:t>:</w:t>
      </w:r>
      <w:r w:rsidRPr="00A959BB">
        <w:rPr>
          <w:rFonts w:cs="Arial"/>
        </w:rPr>
        <w:tab/>
      </w:r>
      <w:r>
        <w:rPr>
          <w:rFonts w:cs="Arial"/>
          <w:i/>
        </w:rPr>
        <w:t xml:space="preserve">The network can pre-configure the UE with information regarding the handling of the remaining CPAC configurations when one CPAC configuration is executed (e.g., which CPAC configurations are released, which are kept, etc.,).  </w:t>
      </w:r>
    </w:p>
    <w:p w14:paraId="7BBEA211"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4</w:t>
      </w:r>
      <w:r w:rsidRPr="00A959BB">
        <w:rPr>
          <w:rFonts w:cs="Arial"/>
          <w:u w:val="single"/>
        </w:rPr>
        <w:t>:</w:t>
      </w:r>
      <w:r w:rsidRPr="00A959BB">
        <w:rPr>
          <w:rFonts w:cs="Arial"/>
        </w:rPr>
        <w:tab/>
      </w:r>
      <w:r>
        <w:rPr>
          <w:rFonts w:cs="Arial"/>
          <w:i/>
        </w:rPr>
        <w:t xml:space="preserve">A UE can be configured with multiple CPAC configurations that can be active or inactive. </w:t>
      </w:r>
    </w:p>
    <w:p w14:paraId="5B5C5F8F"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5</w:t>
      </w:r>
      <w:r w:rsidRPr="00A959BB">
        <w:rPr>
          <w:rFonts w:cs="Arial"/>
          <w:u w:val="single"/>
        </w:rPr>
        <w:t>:</w:t>
      </w:r>
      <w:r w:rsidRPr="00A959BB">
        <w:rPr>
          <w:rFonts w:cs="Arial"/>
        </w:rPr>
        <w:tab/>
      </w:r>
      <w:r>
        <w:rPr>
          <w:rFonts w:cs="Arial"/>
          <w:i/>
        </w:rPr>
        <w:t xml:space="preserve">When a CPAC configuration is inactive, the UE does not monitor the triggering conditions associated with it. </w:t>
      </w:r>
    </w:p>
    <w:p w14:paraId="01CAD4AF" w14:textId="77777777"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6</w:t>
      </w:r>
      <w:r w:rsidRPr="00A959BB">
        <w:rPr>
          <w:rFonts w:cs="Arial"/>
          <w:u w:val="single"/>
        </w:rPr>
        <w:t>:</w:t>
      </w:r>
      <w:r w:rsidRPr="00A959BB">
        <w:rPr>
          <w:rFonts w:cs="Arial"/>
        </w:rPr>
        <w:tab/>
      </w:r>
      <w:r>
        <w:rPr>
          <w:rFonts w:cs="Arial"/>
          <w:i/>
        </w:rPr>
        <w:t xml:space="preserve">The network can explicitly activate/deactivate a CPAC configuration. </w:t>
      </w:r>
    </w:p>
    <w:p w14:paraId="5D4DE7FB" w14:textId="3692DFFD" w:rsidR="005B1F73" w:rsidRDefault="005B1F73" w:rsidP="005B1F73">
      <w:pPr>
        <w:pStyle w:val="Observation"/>
        <w:numPr>
          <w:ilvl w:val="0"/>
          <w:numId w:val="0"/>
        </w:numPr>
        <w:tabs>
          <w:tab w:val="clear" w:pos="1701"/>
        </w:tabs>
        <w:ind w:left="1701" w:hanging="1701"/>
        <w:jc w:val="left"/>
        <w:rPr>
          <w:rFonts w:cs="Arial"/>
          <w:i/>
        </w:rPr>
      </w:pPr>
      <w:r>
        <w:rPr>
          <w:rFonts w:cs="Arial"/>
          <w:u w:val="single"/>
        </w:rPr>
        <w:t>Proposal 7:</w:t>
      </w:r>
      <w:r>
        <w:rPr>
          <w:rFonts w:cs="Arial"/>
          <w:i/>
        </w:rPr>
        <w:tab/>
        <w:t>When the CPAC conditions for a target PSCell are fulfilled, the UE executes that CPAC configuration and deactivates</w:t>
      </w:r>
      <w:r w:rsidR="002E3AE4">
        <w:rPr>
          <w:rFonts w:cs="Arial"/>
          <w:i/>
        </w:rPr>
        <w:t xml:space="preserve"> it</w:t>
      </w:r>
      <w:r>
        <w:rPr>
          <w:rFonts w:cs="Arial"/>
          <w:i/>
        </w:rPr>
        <w:t xml:space="preserve">. </w:t>
      </w:r>
    </w:p>
    <w:p w14:paraId="10C9810C" w14:textId="77777777" w:rsidR="005B1F73" w:rsidRDefault="005B1F73" w:rsidP="005B1F73">
      <w:pPr>
        <w:pStyle w:val="Observation"/>
        <w:numPr>
          <w:ilvl w:val="0"/>
          <w:numId w:val="0"/>
        </w:numPr>
        <w:tabs>
          <w:tab w:val="clear" w:pos="1701"/>
        </w:tabs>
        <w:ind w:left="1701" w:hanging="1701"/>
        <w:jc w:val="left"/>
        <w:rPr>
          <w:rFonts w:cs="Arial"/>
          <w:i/>
        </w:rPr>
      </w:pPr>
      <w:r>
        <w:rPr>
          <w:rFonts w:cs="Arial"/>
          <w:u w:val="single"/>
        </w:rPr>
        <w:t>Proposal 8:</w:t>
      </w:r>
      <w:r>
        <w:rPr>
          <w:rFonts w:cs="Arial"/>
          <w:i/>
        </w:rPr>
        <w:tab/>
        <w:t>The UE implicitly activates a CPAC configuration associated with the source PSCell upon executing a subsequent CPAC to a target PSCell.</w:t>
      </w:r>
    </w:p>
    <w:p w14:paraId="4F86E3D4" w14:textId="1F29AE11" w:rsidR="005B1F73" w:rsidRDefault="005B1F73" w:rsidP="005B1F73">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9</w:t>
      </w:r>
      <w:r w:rsidRPr="00A959BB">
        <w:rPr>
          <w:rFonts w:cs="Arial"/>
          <w:u w:val="single"/>
        </w:rPr>
        <w:t>:</w:t>
      </w:r>
      <w:r w:rsidRPr="00A959BB">
        <w:rPr>
          <w:rFonts w:cs="Arial"/>
        </w:rPr>
        <w:tab/>
      </w:r>
      <w:r>
        <w:rPr>
          <w:rFonts w:cs="Arial"/>
          <w:i/>
        </w:rPr>
        <w:t>Multiple CPAC execution conditions can be configured for a given candidate target PSCell (</w:t>
      </w:r>
      <w:r w:rsidR="002E3AE4">
        <w:rPr>
          <w:rFonts w:cs="Arial"/>
          <w:i/>
        </w:rPr>
        <w:t>e</w:t>
      </w:r>
      <w:r>
        <w:rPr>
          <w:rFonts w:cs="Arial"/>
          <w:i/>
        </w:rPr>
        <w:t>.g., each associated with a given source PSCell).</w:t>
      </w:r>
    </w:p>
    <w:p w14:paraId="411FA6B5" w14:textId="77777777" w:rsidR="005B1F73" w:rsidRPr="00EA7CF1" w:rsidRDefault="005B1F73" w:rsidP="005F4205">
      <w:pPr>
        <w:pStyle w:val="Observation"/>
        <w:numPr>
          <w:ilvl w:val="0"/>
          <w:numId w:val="0"/>
        </w:numPr>
        <w:tabs>
          <w:tab w:val="clear" w:pos="1701"/>
          <w:tab w:val="left" w:pos="1350"/>
        </w:tabs>
        <w:ind w:left="1350" w:hanging="1350"/>
        <w:jc w:val="left"/>
        <w:rPr>
          <w:rFonts w:cs="Arial"/>
          <w:b w:val="0"/>
          <w:bCs w:val="0"/>
          <w:i/>
          <w:iCs/>
        </w:rPr>
      </w:pPr>
    </w:p>
    <w:p w14:paraId="711DEE3D" w14:textId="77777777" w:rsidR="00C04A8E" w:rsidRPr="002C542E" w:rsidRDefault="00C04A8E" w:rsidP="00C04A8E">
      <w:pPr>
        <w:pStyle w:val="Heading1"/>
        <w:ind w:hanging="882"/>
      </w:pPr>
      <w:r w:rsidRPr="002C542E">
        <w:t>References</w:t>
      </w:r>
    </w:p>
    <w:p w14:paraId="3F768217" w14:textId="3D706BDF" w:rsidR="00EC376D" w:rsidRDefault="00540AF9" w:rsidP="00983DC2">
      <w:pPr>
        <w:pStyle w:val="Reference"/>
        <w:jc w:val="left"/>
        <w:rPr>
          <w:rFonts w:cs="Arial"/>
          <w:lang w:val="en-US"/>
        </w:rPr>
      </w:pPr>
      <w:r>
        <w:rPr>
          <w:rFonts w:cs="Arial"/>
          <w:lang w:val="en-US"/>
        </w:rPr>
        <w:t>RAN2 #1</w:t>
      </w:r>
      <w:r w:rsidR="00680C11">
        <w:rPr>
          <w:rFonts w:cs="Arial"/>
          <w:lang w:val="en-US"/>
        </w:rPr>
        <w:t>2</w:t>
      </w:r>
      <w:r>
        <w:rPr>
          <w:rFonts w:cs="Arial"/>
          <w:lang w:val="en-US"/>
        </w:rPr>
        <w:t>1</w:t>
      </w:r>
      <w:r w:rsidR="001A34C5">
        <w:rPr>
          <w:rFonts w:cs="Arial"/>
          <w:lang w:val="en-US"/>
        </w:rPr>
        <w:t>bis</w:t>
      </w:r>
      <w:r>
        <w:rPr>
          <w:rFonts w:cs="Arial"/>
          <w:lang w:val="en-US"/>
        </w:rPr>
        <w:t xml:space="preserve">-e Chairman Notes, </w:t>
      </w:r>
      <w:r w:rsidR="00680C11">
        <w:rPr>
          <w:rFonts w:cs="Arial"/>
          <w:lang w:val="en-US"/>
        </w:rPr>
        <w:t xml:space="preserve">April </w:t>
      </w:r>
      <w:r>
        <w:rPr>
          <w:rFonts w:cs="Arial"/>
          <w:lang w:val="en-US"/>
        </w:rPr>
        <w:t>202</w:t>
      </w:r>
      <w:r w:rsidR="00680C11">
        <w:rPr>
          <w:rFonts w:cs="Arial"/>
          <w:lang w:val="en-US"/>
        </w:rPr>
        <w:t>3</w:t>
      </w:r>
    </w:p>
    <w:p w14:paraId="3049BB37" w14:textId="77C8FFBB" w:rsidR="005452B1" w:rsidRDefault="005452B1" w:rsidP="005452B1">
      <w:pPr>
        <w:pStyle w:val="Reference"/>
        <w:jc w:val="left"/>
        <w:rPr>
          <w:rFonts w:cs="Arial"/>
          <w:lang w:val="en-US"/>
        </w:rPr>
      </w:pPr>
      <w:r>
        <w:rPr>
          <w:rFonts w:cs="Arial"/>
          <w:lang w:val="en-US"/>
        </w:rPr>
        <w:t>RAN2 #122 Chairman Notes, May 2023</w:t>
      </w:r>
    </w:p>
    <w:p w14:paraId="7CBE52B1" w14:textId="3F4049B9" w:rsidR="00EF5C72" w:rsidRDefault="00EF5C72" w:rsidP="005452B1">
      <w:pPr>
        <w:pStyle w:val="Reference"/>
        <w:jc w:val="left"/>
        <w:rPr>
          <w:rFonts w:cs="Arial"/>
          <w:lang w:val="en-US"/>
        </w:rPr>
      </w:pPr>
      <w:r>
        <w:rPr>
          <w:rFonts w:cs="Arial"/>
          <w:lang w:val="en-US"/>
        </w:rPr>
        <w:t>RAN2#123 Chairman Notes, August 2023</w:t>
      </w:r>
    </w:p>
    <w:p w14:paraId="6E4F4046" w14:textId="5AAE834B" w:rsidR="00215964" w:rsidRPr="00215964" w:rsidRDefault="00215964" w:rsidP="00215964">
      <w:pPr>
        <w:pStyle w:val="Reference"/>
        <w:jc w:val="left"/>
        <w:rPr>
          <w:rFonts w:cs="Arial"/>
          <w:lang w:val="en-US"/>
        </w:rPr>
      </w:pPr>
      <w:r w:rsidRPr="00215964">
        <w:rPr>
          <w:rFonts w:cs="Arial"/>
          <w:lang w:val="en-US"/>
        </w:rPr>
        <w:t>R2-2310375</w:t>
      </w:r>
      <w:r>
        <w:rPr>
          <w:rFonts w:cs="Arial"/>
          <w:lang w:val="en-US"/>
        </w:rPr>
        <w:t>, R</w:t>
      </w:r>
      <w:r w:rsidRPr="00215964">
        <w:rPr>
          <w:rFonts w:cs="Arial"/>
          <w:lang w:val="en-US"/>
        </w:rPr>
        <w:t>RC running CR for subsequent CPAC in NR-DC</w:t>
      </w:r>
      <w:r>
        <w:rPr>
          <w:rFonts w:cs="Arial"/>
          <w:lang w:val="en-US"/>
        </w:rPr>
        <w:t>,</w:t>
      </w:r>
      <w:r w:rsidRPr="00215964">
        <w:rPr>
          <w:rFonts w:cs="Arial"/>
          <w:lang w:val="en-US"/>
        </w:rPr>
        <w:tab/>
        <w:t>OPPO</w:t>
      </w:r>
      <w:r>
        <w:rPr>
          <w:rFonts w:cs="Arial"/>
          <w:lang w:val="en-US"/>
        </w:rPr>
        <w:t>, RAN2#123-bis, October 2023</w:t>
      </w:r>
    </w:p>
    <w:p w14:paraId="0D5D02AC" w14:textId="7F244C01" w:rsidR="005452B1" w:rsidRPr="002C542E" w:rsidRDefault="005452B1" w:rsidP="005452B1">
      <w:pPr>
        <w:pStyle w:val="Heading1"/>
        <w:ind w:hanging="882"/>
      </w:pPr>
      <w:r>
        <w:t>Annex</w:t>
      </w:r>
    </w:p>
    <w:p w14:paraId="5DDCE48B" w14:textId="1304D0B1" w:rsidR="005452B1" w:rsidRPr="003253F2" w:rsidRDefault="005452B1" w:rsidP="005452B1">
      <w:pPr>
        <w:ind w:left="567" w:hanging="567"/>
        <w:jc w:val="left"/>
        <w:rPr>
          <w:rFonts w:cs="Arial"/>
          <w:b/>
          <w:bCs/>
          <w:sz w:val="24"/>
          <w:szCs w:val="24"/>
        </w:rPr>
      </w:pPr>
      <w:bookmarkStart w:id="0" w:name="_Hlk142550528"/>
      <w:r w:rsidRPr="003253F2">
        <w:rPr>
          <w:rFonts w:cs="Arial"/>
          <w:b/>
          <w:bCs/>
          <w:sz w:val="24"/>
          <w:szCs w:val="24"/>
        </w:rPr>
        <w:t>RAN2-121bis agreements</w:t>
      </w:r>
      <w:r>
        <w:rPr>
          <w:rFonts w:cs="Arial"/>
          <w:b/>
          <w:bCs/>
          <w:sz w:val="24"/>
          <w:szCs w:val="24"/>
        </w:rPr>
        <w:t xml:space="preserve"> on subsequent SCG activation:</w:t>
      </w:r>
    </w:p>
    <w:bookmarkEnd w:id="0"/>
    <w:p w14:paraId="00571387" w14:textId="77777777" w:rsidR="005452B1" w:rsidRPr="00983DC2" w:rsidRDefault="005452B1" w:rsidP="005452B1">
      <w:pPr>
        <w:pStyle w:val="Agreement"/>
        <w:tabs>
          <w:tab w:val="clear" w:pos="1980"/>
          <w:tab w:val="num" w:pos="1619"/>
        </w:tabs>
        <w:ind w:left="1619"/>
        <w:rPr>
          <w:b w:val="0"/>
          <w:bCs/>
          <w:i/>
          <w:iCs/>
        </w:rPr>
      </w:pPr>
      <w:r w:rsidRPr="00983DC2">
        <w:rPr>
          <w:b w:val="0"/>
          <w:bCs/>
          <w:i/>
          <w:iCs/>
        </w:rPr>
        <w:t>For the reference configuration for SCG Selective Activation, aim at following similar design as LTM.</w:t>
      </w:r>
    </w:p>
    <w:p w14:paraId="2794DF90"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For inter-SN SCG Selective Activation, the RRC reconfiguration message containing the Rel-18 CPC configurations provided to the UE is in MN format. </w:t>
      </w:r>
    </w:p>
    <w:p w14:paraId="15514FAA" w14:textId="77777777" w:rsidR="005452B1" w:rsidRPr="00983DC2" w:rsidRDefault="005452B1" w:rsidP="005452B1">
      <w:pPr>
        <w:pStyle w:val="Agreement"/>
        <w:tabs>
          <w:tab w:val="clear" w:pos="1980"/>
          <w:tab w:val="num" w:pos="1619"/>
        </w:tabs>
        <w:ind w:left="1619"/>
        <w:rPr>
          <w:b w:val="0"/>
          <w:bCs/>
          <w:i/>
          <w:iCs/>
        </w:rPr>
      </w:pPr>
      <w:r w:rsidRPr="00983DC2">
        <w:rPr>
          <w:b w:val="0"/>
          <w:bCs/>
          <w:i/>
          <w:iCs/>
        </w:rPr>
        <w:lastRenderedPageBreak/>
        <w:t xml:space="preserve">For MN initiated inter-SN SCG selective activation, source MN generates the execution conditions for the initial CPAC. </w:t>
      </w:r>
    </w:p>
    <w:p w14:paraId="6B69DF08"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t>FFS on the following options for subsequent CPC:</w:t>
      </w:r>
    </w:p>
    <w:p w14:paraId="579E3189"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t>Option 1: Source MN generates the execution conditions for all subsequent CPC.</w:t>
      </w:r>
    </w:p>
    <w:p w14:paraId="6ADF49E1"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t>Option 2: Candidate SN may generate execution conditions for subsequent CPC.</w:t>
      </w:r>
    </w:p>
    <w:p w14:paraId="13223946"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For SN initiated inter-SN SCG selective activation, source SN generates the execution conditions for the initial CPC. </w:t>
      </w:r>
      <w:r w:rsidRPr="00983DC2">
        <w:rPr>
          <w:b w:val="0"/>
          <w:bCs/>
          <w:i/>
          <w:iCs/>
        </w:rPr>
        <w:br/>
        <w:t>FFS if Candidate SN may generate/modify execution conditions for subsequent CPC</w:t>
      </w:r>
    </w:p>
    <w:p w14:paraId="22FBE1B6"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Assume for now that there is only one reference configuration. </w:t>
      </w:r>
    </w:p>
    <w:p w14:paraId="340ECE32" w14:textId="77777777" w:rsidR="005452B1" w:rsidRPr="00983DC2" w:rsidRDefault="005452B1" w:rsidP="005452B1">
      <w:pPr>
        <w:pStyle w:val="Agreement"/>
        <w:tabs>
          <w:tab w:val="clear" w:pos="1980"/>
          <w:tab w:val="num" w:pos="1619"/>
        </w:tabs>
        <w:ind w:left="1619"/>
        <w:rPr>
          <w:b w:val="0"/>
          <w:bCs/>
          <w:i/>
          <w:iCs/>
        </w:rPr>
      </w:pPr>
      <w:r w:rsidRPr="00983DC2">
        <w:rPr>
          <w:b w:val="0"/>
          <w:bCs/>
          <w:i/>
          <w:iCs/>
        </w:rPr>
        <w:t>The following may be included in the initial RRC reconfiguration message containing the Rel-18 CPC configurations:</w:t>
      </w:r>
    </w:p>
    <w:p w14:paraId="37092E27" w14:textId="77777777" w:rsidR="005452B1" w:rsidRPr="00983DC2" w:rsidRDefault="005452B1" w:rsidP="005452B1">
      <w:pPr>
        <w:pStyle w:val="Agreement"/>
        <w:numPr>
          <w:ilvl w:val="0"/>
          <w:numId w:val="16"/>
        </w:numPr>
        <w:rPr>
          <w:b w:val="0"/>
          <w:bCs/>
          <w:i/>
          <w:iCs/>
        </w:rPr>
      </w:pPr>
      <w:r w:rsidRPr="00983DC2">
        <w:rPr>
          <w:b w:val="0"/>
          <w:bCs/>
          <w:i/>
          <w:iCs/>
        </w:rPr>
        <w:t>Reference SCG configuration (Optionality FFS). Assume as for LTM Reference configuration may be empty.</w:t>
      </w:r>
    </w:p>
    <w:p w14:paraId="763C6DC6" w14:textId="77777777" w:rsidR="005452B1" w:rsidRPr="00983DC2" w:rsidRDefault="005452B1" w:rsidP="005452B1">
      <w:pPr>
        <w:pStyle w:val="Agreement"/>
        <w:numPr>
          <w:ilvl w:val="0"/>
          <w:numId w:val="0"/>
        </w:numPr>
        <w:ind w:left="1619"/>
        <w:rPr>
          <w:b w:val="0"/>
          <w:bCs/>
          <w:i/>
          <w:iCs/>
        </w:rPr>
      </w:pPr>
      <w:r w:rsidRPr="00983DC2">
        <w:rPr>
          <w:b w:val="0"/>
          <w:bCs/>
          <w:i/>
          <w:iCs/>
        </w:rPr>
        <w:t xml:space="preserve">FFS whether MCG configuration is included. </w:t>
      </w:r>
    </w:p>
    <w:p w14:paraId="074C3C72" w14:textId="77777777" w:rsidR="005452B1" w:rsidRPr="00983DC2" w:rsidRDefault="005452B1" w:rsidP="005452B1">
      <w:pPr>
        <w:pStyle w:val="Agreement"/>
        <w:numPr>
          <w:ilvl w:val="0"/>
          <w:numId w:val="0"/>
        </w:numPr>
        <w:ind w:left="1619"/>
        <w:rPr>
          <w:b w:val="0"/>
          <w:bCs/>
          <w:i/>
          <w:iCs/>
        </w:rPr>
      </w:pPr>
      <w:r w:rsidRPr="00983DC2">
        <w:rPr>
          <w:b w:val="0"/>
          <w:bCs/>
          <w:i/>
          <w:iCs/>
        </w:rPr>
        <w:t>FFS RRC model for the reference configuration.</w:t>
      </w:r>
    </w:p>
    <w:p w14:paraId="12B78A1A" w14:textId="77777777" w:rsidR="005452B1" w:rsidRPr="00983DC2" w:rsidRDefault="005452B1" w:rsidP="005452B1">
      <w:pPr>
        <w:pStyle w:val="Agreement"/>
        <w:numPr>
          <w:ilvl w:val="0"/>
          <w:numId w:val="16"/>
        </w:numPr>
        <w:rPr>
          <w:b w:val="0"/>
          <w:bCs/>
          <w:i/>
          <w:iCs/>
        </w:rPr>
      </w:pPr>
      <w:r w:rsidRPr="00983DC2">
        <w:rPr>
          <w:b w:val="0"/>
          <w:bCs/>
          <w:i/>
          <w:iC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2639D320" w14:textId="77777777" w:rsidR="005452B1" w:rsidRPr="00983DC2" w:rsidRDefault="005452B1" w:rsidP="005452B1">
      <w:pPr>
        <w:pStyle w:val="Agreement"/>
        <w:numPr>
          <w:ilvl w:val="0"/>
          <w:numId w:val="0"/>
        </w:numPr>
        <w:ind w:left="1619"/>
        <w:rPr>
          <w:b w:val="0"/>
          <w:bCs/>
          <w:i/>
          <w:iCs/>
        </w:rPr>
      </w:pPr>
      <w:r w:rsidRPr="00983DC2">
        <w:rPr>
          <w:b w:val="0"/>
          <w:bCs/>
          <w:i/>
          <w:iCs/>
        </w:rPr>
        <w:t xml:space="preserve">3. The execution conditions associated with each candidate target PSCell. </w:t>
      </w:r>
    </w:p>
    <w:p w14:paraId="136537A3" w14:textId="77777777" w:rsidR="005452B1" w:rsidRPr="00983DC2" w:rsidRDefault="005452B1" w:rsidP="005452B1">
      <w:pPr>
        <w:pStyle w:val="Agreement"/>
        <w:numPr>
          <w:ilvl w:val="0"/>
          <w:numId w:val="0"/>
        </w:numPr>
        <w:ind w:left="1619"/>
        <w:rPr>
          <w:b w:val="0"/>
          <w:bCs/>
          <w:i/>
          <w:iCs/>
        </w:rPr>
      </w:pPr>
      <w:r w:rsidRPr="00983DC2">
        <w:rPr>
          <w:b w:val="0"/>
          <w:bCs/>
          <w:i/>
          <w:iCs/>
        </w:rPr>
        <w:t>a.</w:t>
      </w:r>
      <w:r w:rsidRPr="00983DC2">
        <w:rPr>
          <w:b w:val="0"/>
          <w:bCs/>
          <w:i/>
          <w:iCs/>
        </w:rPr>
        <w:tab/>
        <w:t>For MN initiated procedure, execution conditions based on event A4 are supported. FFS whether A3/A5 are supported.</w:t>
      </w:r>
    </w:p>
    <w:p w14:paraId="2D1426DB" w14:textId="77777777" w:rsidR="005452B1" w:rsidRPr="00983DC2" w:rsidRDefault="005452B1" w:rsidP="005452B1">
      <w:pPr>
        <w:pStyle w:val="Agreement"/>
        <w:numPr>
          <w:ilvl w:val="0"/>
          <w:numId w:val="0"/>
        </w:numPr>
        <w:ind w:left="1619"/>
        <w:rPr>
          <w:b w:val="0"/>
          <w:bCs/>
          <w:i/>
          <w:iCs/>
        </w:rPr>
      </w:pPr>
      <w:r w:rsidRPr="00983DC2">
        <w:rPr>
          <w:b w:val="0"/>
          <w:bCs/>
          <w:i/>
          <w:iCs/>
        </w:rPr>
        <w:t>b.</w:t>
      </w:r>
      <w:r w:rsidRPr="00983DC2">
        <w:rPr>
          <w:b w:val="0"/>
          <w:bCs/>
          <w:i/>
          <w:iCs/>
        </w:rPr>
        <w:tab/>
        <w:t xml:space="preserve">For SN initiated procedure, execution conditions based on events A3/A5 are supported.      </w:t>
      </w:r>
    </w:p>
    <w:p w14:paraId="792373B3" w14:textId="77777777" w:rsidR="005452B1" w:rsidRPr="00215964" w:rsidRDefault="005452B1" w:rsidP="005452B1">
      <w:pPr>
        <w:pStyle w:val="Agreement"/>
        <w:tabs>
          <w:tab w:val="clear" w:pos="1980"/>
          <w:tab w:val="num" w:pos="1619"/>
        </w:tabs>
        <w:ind w:left="1619"/>
        <w:rPr>
          <w:b w:val="0"/>
          <w:bCs/>
          <w:i/>
          <w:iCs/>
        </w:rPr>
      </w:pPr>
      <w:r w:rsidRPr="00983DC2">
        <w:rPr>
          <w:b w:val="0"/>
          <w:bCs/>
          <w:i/>
          <w:iCs/>
        </w:rPr>
        <w:t xml:space="preserve">UE will keep R18 CPC configurations after CPC execution. </w:t>
      </w:r>
      <w:r w:rsidRPr="00215964">
        <w:rPr>
          <w:b w:val="0"/>
          <w:bCs/>
          <w:i/>
          <w:iCs/>
        </w:rPr>
        <w:t>It should be possible to release a CPC candidate explicitly by RRC reconfiguration procedure.</w:t>
      </w:r>
    </w:p>
    <w:p w14:paraId="495B3B8A" w14:textId="77777777" w:rsidR="005452B1" w:rsidRPr="00215964" w:rsidRDefault="005452B1" w:rsidP="005452B1">
      <w:pPr>
        <w:pStyle w:val="Reference"/>
        <w:numPr>
          <w:ilvl w:val="0"/>
          <w:numId w:val="0"/>
        </w:numPr>
        <w:ind w:left="567" w:hanging="567"/>
        <w:jc w:val="left"/>
        <w:rPr>
          <w:rFonts w:cs="Arial"/>
        </w:rPr>
      </w:pPr>
    </w:p>
    <w:p w14:paraId="2B54B0E8" w14:textId="784C8D3E" w:rsidR="005452B1" w:rsidRPr="00215964" w:rsidRDefault="005452B1" w:rsidP="005452B1">
      <w:pPr>
        <w:ind w:left="567" w:hanging="567"/>
        <w:jc w:val="left"/>
        <w:rPr>
          <w:rFonts w:cs="Arial"/>
          <w:b/>
          <w:bCs/>
          <w:sz w:val="24"/>
          <w:szCs w:val="24"/>
        </w:rPr>
      </w:pPr>
      <w:r w:rsidRPr="00215964">
        <w:rPr>
          <w:rFonts w:cs="Arial"/>
          <w:b/>
          <w:bCs/>
          <w:sz w:val="24"/>
          <w:szCs w:val="24"/>
        </w:rPr>
        <w:t>RAN2-122 agreements on subsequent SCG activation:</w:t>
      </w:r>
    </w:p>
    <w:p w14:paraId="36873A4F"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For SN-initiated SCG selective activation, candidate SN generates execution conditions for subsequent CPC.</w:t>
      </w:r>
    </w:p>
    <w:p w14:paraId="7CD4BF3D"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FFS if it shall be possible to do something like MN-initiated CPA/CPC where Candidate SN generate execution conditions for subsequent CPC</w:t>
      </w:r>
    </w:p>
    <w:p w14:paraId="08B97F80"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The UE shall skip the condition evaluation for a candidate which is a current PScell.</w:t>
      </w:r>
    </w:p>
    <w:p w14:paraId="4F5CFA2F"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 xml:space="preserve">The reference configuration is provided to all candidates involved in preparation, FFS which node initially generates it. Assume it can be provided in MN initiated and in SN initiated procedures.  </w:t>
      </w:r>
    </w:p>
    <w:p w14:paraId="3CF6CF1E"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Will not spend specific efforts for supporting nested configurations for candidate cell configuration.</w:t>
      </w:r>
    </w:p>
    <w:p w14:paraId="5F4976FC" w14:textId="77777777" w:rsidR="005452B1" w:rsidRPr="00215964" w:rsidRDefault="005452B1" w:rsidP="005452B1">
      <w:pPr>
        <w:pStyle w:val="Agreement"/>
        <w:tabs>
          <w:tab w:val="clear" w:pos="1980"/>
          <w:tab w:val="num" w:pos="1619"/>
        </w:tabs>
        <w:ind w:left="1619"/>
        <w:rPr>
          <w:b w:val="0"/>
          <w:bCs/>
          <w:i/>
          <w:iCs/>
          <w:lang w:val="en-US"/>
        </w:rPr>
      </w:pPr>
      <w:r w:rsidRPr="00215964">
        <w:rPr>
          <w:b w:val="0"/>
          <w:bCs/>
          <w:i/>
          <w:iCs/>
          <w:lang w:val="en-US"/>
        </w:rPr>
        <w:t>Terminology is “Subsequent CPAC”</w:t>
      </w:r>
    </w:p>
    <w:p w14:paraId="763A584F" w14:textId="77777777" w:rsidR="005452B1" w:rsidRPr="00215964" w:rsidRDefault="005452B1" w:rsidP="004F4303">
      <w:pPr>
        <w:pStyle w:val="Reference"/>
        <w:numPr>
          <w:ilvl w:val="0"/>
          <w:numId w:val="0"/>
        </w:numPr>
        <w:ind w:left="567" w:hanging="567"/>
        <w:jc w:val="left"/>
        <w:rPr>
          <w:rFonts w:cs="Arial"/>
        </w:rPr>
      </w:pPr>
    </w:p>
    <w:p w14:paraId="74E4A051" w14:textId="20FD5F18" w:rsidR="000C6318" w:rsidRPr="00215964" w:rsidRDefault="000C6318" w:rsidP="000C6318">
      <w:pPr>
        <w:ind w:left="567" w:hanging="567"/>
        <w:jc w:val="left"/>
        <w:rPr>
          <w:rFonts w:cs="Arial"/>
          <w:b/>
          <w:bCs/>
          <w:sz w:val="24"/>
          <w:szCs w:val="24"/>
        </w:rPr>
      </w:pPr>
      <w:r w:rsidRPr="00215964">
        <w:rPr>
          <w:rFonts w:cs="Arial"/>
          <w:b/>
          <w:bCs/>
          <w:sz w:val="24"/>
          <w:szCs w:val="24"/>
        </w:rPr>
        <w:t>RAN2-123 agreements on subsequent SCG activation:</w:t>
      </w:r>
    </w:p>
    <w:p w14:paraId="13B5956C" w14:textId="77777777" w:rsidR="00690F29" w:rsidRPr="00215964" w:rsidRDefault="00690F29" w:rsidP="00690F29">
      <w:pPr>
        <w:pStyle w:val="Agreement"/>
        <w:tabs>
          <w:tab w:val="clear" w:pos="1980"/>
          <w:tab w:val="num" w:pos="1619"/>
        </w:tabs>
        <w:ind w:left="1619"/>
        <w:rPr>
          <w:b w:val="0"/>
          <w:bCs/>
          <w:i/>
          <w:iCs/>
          <w:lang w:val="en-US"/>
        </w:rPr>
      </w:pPr>
      <w:r w:rsidRPr="00215964">
        <w:rPr>
          <w:b w:val="0"/>
          <w:bCs/>
          <w:i/>
          <w:iCs/>
          <w:lang w:val="en-US"/>
        </w:rPr>
        <w:t>For subsequent CPAC it is useful to support use of A3 A5</w:t>
      </w:r>
    </w:p>
    <w:p w14:paraId="383207C2" w14:textId="77777777" w:rsidR="00690F29" w:rsidRPr="00215964" w:rsidRDefault="00690F29" w:rsidP="00690F29">
      <w:pPr>
        <w:pStyle w:val="Agreement"/>
        <w:tabs>
          <w:tab w:val="clear" w:pos="1980"/>
          <w:tab w:val="num" w:pos="1619"/>
        </w:tabs>
        <w:ind w:left="1619"/>
        <w:rPr>
          <w:b w:val="0"/>
          <w:bCs/>
          <w:i/>
          <w:iCs/>
          <w:lang w:val="en-US"/>
        </w:rPr>
      </w:pPr>
      <w:r w:rsidRPr="00215964">
        <w:rPr>
          <w:b w:val="0"/>
          <w:bCs/>
          <w:i/>
          <w:iCs/>
          <w:lang w:val="en-US"/>
        </w:rPr>
        <w:t>A3 A5 is supported with SN-initiated subsequent CPAC</w:t>
      </w:r>
    </w:p>
    <w:p w14:paraId="00FAEC2F" w14:textId="53E93AEC" w:rsidR="00077C4A" w:rsidRPr="00215964" w:rsidRDefault="00077C4A" w:rsidP="00077C4A">
      <w:pPr>
        <w:pStyle w:val="Agreement"/>
        <w:tabs>
          <w:tab w:val="clear" w:pos="1980"/>
          <w:tab w:val="num" w:pos="1619"/>
        </w:tabs>
        <w:ind w:left="1619"/>
        <w:rPr>
          <w:b w:val="0"/>
          <w:bCs/>
          <w:i/>
          <w:iCs/>
        </w:rPr>
      </w:pPr>
      <w:r w:rsidRPr="00215964">
        <w:rPr>
          <w:b w:val="0"/>
          <w:bCs/>
          <w:i/>
          <w:iCs/>
        </w:rPr>
        <w:t>Proposal 1: For MN-initiated subsequent CPAC, MN initially triggers the candidate cell preparation of subsequent CPAC procedure, i.e. MN triggers the procedure as defined in Section 10.5.2 and Section 10.2.2 of TS 37.340 in the endorsed running CR.</w:t>
      </w:r>
    </w:p>
    <w:p w14:paraId="77571530" w14:textId="77777777" w:rsidR="00077C4A" w:rsidRPr="00215964" w:rsidRDefault="00077C4A" w:rsidP="00077C4A">
      <w:pPr>
        <w:pStyle w:val="Agreement"/>
        <w:tabs>
          <w:tab w:val="clear" w:pos="1980"/>
          <w:tab w:val="num" w:pos="1619"/>
        </w:tabs>
        <w:ind w:left="1619"/>
        <w:rPr>
          <w:b w:val="0"/>
          <w:bCs/>
          <w:i/>
          <w:iCs/>
        </w:rPr>
      </w:pPr>
      <w:r w:rsidRPr="00215964">
        <w:rPr>
          <w:b w:val="0"/>
          <w:bCs/>
          <w:i/>
          <w:iCs/>
        </w:rPr>
        <w:t>Proposal 2: For SN-initiated inter-SN subsequent CPAC, SN initially triggers the candidate cell preparation of subsequent CPAC procedure, i.e. source SN triggers the procedure as defined in Section 10.5.2 of TS 37.340 in the endorsed running CR.</w:t>
      </w:r>
    </w:p>
    <w:p w14:paraId="189D8B12" w14:textId="77777777" w:rsidR="00077C4A" w:rsidRPr="00215964" w:rsidRDefault="00077C4A" w:rsidP="00077C4A">
      <w:pPr>
        <w:pStyle w:val="Agreement"/>
        <w:tabs>
          <w:tab w:val="clear" w:pos="1980"/>
          <w:tab w:val="num" w:pos="1619"/>
        </w:tabs>
        <w:ind w:left="1619"/>
        <w:rPr>
          <w:b w:val="0"/>
          <w:bCs/>
          <w:i/>
          <w:iCs/>
        </w:rPr>
      </w:pPr>
      <w:r w:rsidRPr="00215964">
        <w:rPr>
          <w:b w:val="0"/>
          <w:bCs/>
          <w:i/>
          <w:iCs/>
        </w:rPr>
        <w:lastRenderedPageBreak/>
        <w:t>Proposal 3 (option2): For MN-initiated subsequent CPAC, the execution condition configuration is provided as following:</w:t>
      </w:r>
    </w:p>
    <w:p w14:paraId="6EECE457" w14:textId="77777777" w:rsidR="00077C4A" w:rsidRPr="00215964" w:rsidRDefault="00077C4A" w:rsidP="00077C4A">
      <w:pPr>
        <w:pStyle w:val="Agreement"/>
        <w:numPr>
          <w:ilvl w:val="0"/>
          <w:numId w:val="0"/>
        </w:numPr>
        <w:ind w:left="1619"/>
        <w:rPr>
          <w:b w:val="0"/>
          <w:bCs/>
          <w:i/>
          <w:iCs/>
        </w:rPr>
      </w:pPr>
      <w:r w:rsidRPr="00215964">
        <w:rPr>
          <w:b w:val="0"/>
          <w:bCs/>
          <w:i/>
          <w:iCs/>
        </w:rPr>
        <w:t>MN generates the execution conditions (A4 event) for initial CPAC execution, and the measID refers to the measurement configuration associated with MCG;</w:t>
      </w:r>
    </w:p>
    <w:p w14:paraId="1100BD4B" w14:textId="77777777" w:rsidR="00077C4A" w:rsidRPr="00215964" w:rsidRDefault="00077C4A" w:rsidP="00077C4A">
      <w:pPr>
        <w:pStyle w:val="Agreement"/>
        <w:numPr>
          <w:ilvl w:val="0"/>
          <w:numId w:val="0"/>
        </w:numPr>
        <w:ind w:left="1619"/>
        <w:rPr>
          <w:b w:val="0"/>
          <w:bCs/>
          <w:i/>
          <w:iCs/>
        </w:rPr>
      </w:pPr>
      <w:r w:rsidRPr="00215964">
        <w:rPr>
          <w:b w:val="0"/>
          <w:bCs/>
          <w:i/>
          <w:iCs/>
        </w:rPr>
        <w:t>candidate SN generates the execution conditions (A3/A5 event)  for subsequent CPC execution, and the measID refers to the measurement configuration associated with SCG.</w:t>
      </w:r>
    </w:p>
    <w:p w14:paraId="49FEBF12" w14:textId="77777777" w:rsidR="00C8700C" w:rsidRPr="00215964" w:rsidRDefault="00C8700C" w:rsidP="00C8700C">
      <w:pPr>
        <w:pStyle w:val="Agreement"/>
        <w:tabs>
          <w:tab w:val="clear" w:pos="1980"/>
          <w:tab w:val="num" w:pos="1619"/>
        </w:tabs>
        <w:ind w:left="1619"/>
        <w:rPr>
          <w:b w:val="0"/>
          <w:bCs/>
          <w:i/>
          <w:iCs/>
          <w:lang w:val="en-US"/>
        </w:rPr>
      </w:pPr>
      <w:r w:rsidRPr="00215964">
        <w:rPr>
          <w:b w:val="0"/>
          <w:bCs/>
          <w:i/>
          <w:iCs/>
          <w:lang w:val="en-US"/>
        </w:rPr>
        <w:t>UE autonomously releases the subsequent CPAC configurations in the following cases: upon RRC re-establishment and RRC release (to RRC_IDLE and/or RRC_INACTIVE)</w:t>
      </w:r>
    </w:p>
    <w:p w14:paraId="4CF4EFFA" w14:textId="77777777" w:rsidR="00C8700C" w:rsidRPr="00215964" w:rsidRDefault="00C8700C" w:rsidP="00C8700C">
      <w:pPr>
        <w:pStyle w:val="Agreement"/>
        <w:tabs>
          <w:tab w:val="clear" w:pos="1980"/>
          <w:tab w:val="num" w:pos="1619"/>
        </w:tabs>
        <w:ind w:left="1619"/>
        <w:rPr>
          <w:b w:val="0"/>
          <w:bCs/>
          <w:i/>
          <w:iCs/>
          <w:lang w:val="en-US"/>
        </w:rPr>
      </w:pPr>
      <w:r w:rsidRPr="00215964">
        <w:rPr>
          <w:b w:val="0"/>
          <w:bCs/>
          <w:i/>
          <w:iCs/>
          <w:lang w:val="en-US"/>
        </w:rPr>
        <w:t xml:space="preserve">No need for an optimized single-indication-release of CPAC configuration. Can rely on explicit release for other cases. </w:t>
      </w:r>
    </w:p>
    <w:p w14:paraId="69CAD9BA" w14:textId="77777777" w:rsidR="00777004" w:rsidRPr="00215964" w:rsidRDefault="00777004" w:rsidP="00777004">
      <w:pPr>
        <w:pStyle w:val="Agreement"/>
        <w:tabs>
          <w:tab w:val="clear" w:pos="1980"/>
          <w:tab w:val="num" w:pos="1619"/>
          <w:tab w:val="num" w:pos="3620"/>
        </w:tabs>
        <w:ind w:left="1619"/>
        <w:rPr>
          <w:b w:val="0"/>
          <w:bCs/>
          <w:i/>
          <w:iCs/>
          <w:lang w:val="en-US"/>
        </w:rPr>
      </w:pPr>
      <w:r w:rsidRPr="00215964">
        <w:rPr>
          <w:b w:val="0"/>
          <w:bCs/>
          <w:i/>
          <w:iCs/>
          <w:lang w:val="en-US"/>
        </w:rPr>
        <w:t>Will support the SA3 solution, i.e. update of Sk-counter at inter-SN-mobility, based on pre-configured multiple Sk-counter. UE need to know when Sk counter need to change.</w:t>
      </w:r>
    </w:p>
    <w:p w14:paraId="260F971A" w14:textId="77777777" w:rsidR="00777004" w:rsidRPr="00215964" w:rsidRDefault="00777004" w:rsidP="00777004">
      <w:pPr>
        <w:pStyle w:val="Agreement"/>
        <w:tabs>
          <w:tab w:val="clear" w:pos="1980"/>
          <w:tab w:val="num" w:pos="1619"/>
          <w:tab w:val="num" w:pos="3620"/>
        </w:tabs>
        <w:ind w:left="1619"/>
        <w:rPr>
          <w:b w:val="0"/>
          <w:bCs/>
          <w:i/>
          <w:iCs/>
          <w:lang w:val="en-US"/>
        </w:rPr>
      </w:pPr>
      <w:r w:rsidRPr="00215964">
        <w:rPr>
          <w:b w:val="0"/>
          <w:bCs/>
          <w:i/>
          <w:iCs/>
          <w:lang w:val="en-US"/>
        </w:rPr>
        <w:t xml:space="preserve">Detailed solution discussed in long Post-meeting email discussion </w:t>
      </w:r>
    </w:p>
    <w:p w14:paraId="6032B0CD" w14:textId="77777777" w:rsidR="00690F29" w:rsidRPr="00690F29" w:rsidRDefault="00690F29" w:rsidP="004F4303">
      <w:pPr>
        <w:pStyle w:val="Reference"/>
        <w:numPr>
          <w:ilvl w:val="0"/>
          <w:numId w:val="0"/>
        </w:numPr>
        <w:ind w:left="567" w:hanging="567"/>
        <w:jc w:val="left"/>
        <w:rPr>
          <w:rFonts w:cs="Arial"/>
          <w:lang w:val="en-US"/>
        </w:rPr>
      </w:pPr>
    </w:p>
    <w:sectPr w:rsidR="00690F29" w:rsidRPr="00690F2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69508" w14:textId="77777777" w:rsidR="002D529D" w:rsidRDefault="002D529D">
      <w:r>
        <w:separator/>
      </w:r>
    </w:p>
  </w:endnote>
  <w:endnote w:type="continuationSeparator" w:id="0">
    <w:p w14:paraId="44ABE314" w14:textId="77777777" w:rsidR="002D529D" w:rsidRDefault="002D529D">
      <w:r>
        <w:continuationSeparator/>
      </w:r>
    </w:p>
  </w:endnote>
  <w:endnote w:type="continuationNotice" w:id="1">
    <w:p w14:paraId="77055F74" w14:textId="77777777" w:rsidR="002D529D" w:rsidRDefault="002D5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90FE" w14:textId="77777777" w:rsidR="002D529D" w:rsidRDefault="002D529D">
      <w:r>
        <w:separator/>
      </w:r>
    </w:p>
  </w:footnote>
  <w:footnote w:type="continuationSeparator" w:id="0">
    <w:p w14:paraId="3855042B" w14:textId="77777777" w:rsidR="002D529D" w:rsidRDefault="002D529D">
      <w:r>
        <w:continuationSeparator/>
      </w:r>
    </w:p>
  </w:footnote>
  <w:footnote w:type="continuationNotice" w:id="1">
    <w:p w14:paraId="4A0242FA" w14:textId="77777777" w:rsidR="002D529D" w:rsidRDefault="002D5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0"/>
  </w:num>
  <w:num w:numId="2" w16cid:durableId="632902701">
    <w:abstractNumId w:val="9"/>
  </w:num>
  <w:num w:numId="3" w16cid:durableId="2045523413">
    <w:abstractNumId w:val="6"/>
  </w:num>
  <w:num w:numId="4" w16cid:durableId="2101564351">
    <w:abstractNumId w:val="7"/>
  </w:num>
  <w:num w:numId="5" w16cid:durableId="485360964">
    <w:abstractNumId w:val="3"/>
  </w:num>
  <w:num w:numId="6" w16cid:durableId="685403720">
    <w:abstractNumId w:val="8"/>
  </w:num>
  <w:num w:numId="7" w16cid:durableId="35281692">
    <w:abstractNumId w:val="11"/>
  </w:num>
  <w:num w:numId="8" w16cid:durableId="307438180">
    <w:abstractNumId w:val="4"/>
  </w:num>
  <w:num w:numId="9" w16cid:durableId="526481627">
    <w:abstractNumId w:val="16"/>
  </w:num>
  <w:num w:numId="10" w16cid:durableId="1043673788">
    <w:abstractNumId w:val="10"/>
  </w:num>
  <w:num w:numId="11" w16cid:durableId="464083471">
    <w:abstractNumId w:val="15"/>
  </w:num>
  <w:num w:numId="12" w16cid:durableId="994333056">
    <w:abstractNumId w:val="13"/>
  </w:num>
  <w:num w:numId="13" w16cid:durableId="1943874513">
    <w:abstractNumId w:val="14"/>
  </w:num>
  <w:num w:numId="14" w16cid:durableId="721634961">
    <w:abstractNumId w:val="5"/>
  </w:num>
  <w:num w:numId="15" w16cid:durableId="2060395118">
    <w:abstractNumId w:val="1"/>
  </w:num>
  <w:num w:numId="16" w16cid:durableId="529152957">
    <w:abstractNumId w:val="2"/>
  </w:num>
  <w:num w:numId="17" w16cid:durableId="228619530">
    <w:abstractNumId w:val="6"/>
  </w:num>
  <w:num w:numId="18" w16cid:durableId="1888491287">
    <w:abstractNumId w:val="12"/>
  </w:num>
  <w:num w:numId="19" w16cid:durableId="102289808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AD0"/>
    <w:rsid w:val="00041B80"/>
    <w:rsid w:val="00041CC3"/>
    <w:rsid w:val="00041F08"/>
    <w:rsid w:val="000422E2"/>
    <w:rsid w:val="00042995"/>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C4A"/>
    <w:rsid w:val="00077DDE"/>
    <w:rsid w:val="00077E5F"/>
    <w:rsid w:val="0008036A"/>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6B"/>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D7E"/>
    <w:rsid w:val="000C2E19"/>
    <w:rsid w:val="000C3157"/>
    <w:rsid w:val="000C3260"/>
    <w:rsid w:val="000C3556"/>
    <w:rsid w:val="000C4040"/>
    <w:rsid w:val="000C46E8"/>
    <w:rsid w:val="000C4BAD"/>
    <w:rsid w:val="000C4DF7"/>
    <w:rsid w:val="000C4EE8"/>
    <w:rsid w:val="000C5AA9"/>
    <w:rsid w:val="000C5F14"/>
    <w:rsid w:val="000C6318"/>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E0527"/>
    <w:rsid w:val="000E08E9"/>
    <w:rsid w:val="000E0F3E"/>
    <w:rsid w:val="000E0F67"/>
    <w:rsid w:val="000E1038"/>
    <w:rsid w:val="000E1525"/>
    <w:rsid w:val="000E1991"/>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95B"/>
    <w:rsid w:val="000F0EB1"/>
    <w:rsid w:val="000F1106"/>
    <w:rsid w:val="000F29AB"/>
    <w:rsid w:val="000F2B58"/>
    <w:rsid w:val="000F2CF4"/>
    <w:rsid w:val="000F3303"/>
    <w:rsid w:val="000F3BE9"/>
    <w:rsid w:val="000F3F6C"/>
    <w:rsid w:val="000F481A"/>
    <w:rsid w:val="000F4FD3"/>
    <w:rsid w:val="000F5462"/>
    <w:rsid w:val="000F55A8"/>
    <w:rsid w:val="000F61C4"/>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C05"/>
    <w:rsid w:val="00120364"/>
    <w:rsid w:val="00120D75"/>
    <w:rsid w:val="00120F96"/>
    <w:rsid w:val="001219F5"/>
    <w:rsid w:val="00121A20"/>
    <w:rsid w:val="00121FD4"/>
    <w:rsid w:val="00122330"/>
    <w:rsid w:val="0012235D"/>
    <w:rsid w:val="0012266F"/>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6C5"/>
    <w:rsid w:val="001417B4"/>
    <w:rsid w:val="0014181B"/>
    <w:rsid w:val="00142E9F"/>
    <w:rsid w:val="00142F16"/>
    <w:rsid w:val="00143FC0"/>
    <w:rsid w:val="00144F73"/>
    <w:rsid w:val="00145999"/>
    <w:rsid w:val="00145AF7"/>
    <w:rsid w:val="00145FFA"/>
    <w:rsid w:val="0014682C"/>
    <w:rsid w:val="00146FA9"/>
    <w:rsid w:val="0014791D"/>
    <w:rsid w:val="00147AA8"/>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502C"/>
    <w:rsid w:val="00195409"/>
    <w:rsid w:val="00195ABE"/>
    <w:rsid w:val="00195C5C"/>
    <w:rsid w:val="00195D32"/>
    <w:rsid w:val="00197DCE"/>
    <w:rsid w:val="00197DF9"/>
    <w:rsid w:val="001A03D0"/>
    <w:rsid w:val="001A04BE"/>
    <w:rsid w:val="001A0522"/>
    <w:rsid w:val="001A1149"/>
    <w:rsid w:val="001A1987"/>
    <w:rsid w:val="001A1AA0"/>
    <w:rsid w:val="001A252C"/>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87C"/>
    <w:rsid w:val="001D7D56"/>
    <w:rsid w:val="001E0EA4"/>
    <w:rsid w:val="001E11A5"/>
    <w:rsid w:val="001E1381"/>
    <w:rsid w:val="001E16E3"/>
    <w:rsid w:val="001E19D4"/>
    <w:rsid w:val="001E241F"/>
    <w:rsid w:val="001E262D"/>
    <w:rsid w:val="001E4091"/>
    <w:rsid w:val="001E4AEC"/>
    <w:rsid w:val="001E58E2"/>
    <w:rsid w:val="001E5A9B"/>
    <w:rsid w:val="001E5CD6"/>
    <w:rsid w:val="001E66B8"/>
    <w:rsid w:val="001E66C6"/>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5964"/>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568"/>
    <w:rsid w:val="002907B5"/>
    <w:rsid w:val="00290EFA"/>
    <w:rsid w:val="00290F00"/>
    <w:rsid w:val="00291B67"/>
    <w:rsid w:val="00291CB7"/>
    <w:rsid w:val="00292C3F"/>
    <w:rsid w:val="00292EB7"/>
    <w:rsid w:val="002931FA"/>
    <w:rsid w:val="0029582D"/>
    <w:rsid w:val="002961C7"/>
    <w:rsid w:val="00296227"/>
    <w:rsid w:val="00296246"/>
    <w:rsid w:val="00296361"/>
    <w:rsid w:val="0029649F"/>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49F6"/>
    <w:rsid w:val="002B6292"/>
    <w:rsid w:val="002B760F"/>
    <w:rsid w:val="002B7891"/>
    <w:rsid w:val="002B7953"/>
    <w:rsid w:val="002B7C28"/>
    <w:rsid w:val="002C0359"/>
    <w:rsid w:val="002C04B8"/>
    <w:rsid w:val="002C1ACC"/>
    <w:rsid w:val="002C1CAA"/>
    <w:rsid w:val="002C1F19"/>
    <w:rsid w:val="002C1FA4"/>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529D"/>
    <w:rsid w:val="002D66E9"/>
    <w:rsid w:val="002D70B9"/>
    <w:rsid w:val="002D7637"/>
    <w:rsid w:val="002E0F5F"/>
    <w:rsid w:val="002E17F2"/>
    <w:rsid w:val="002E1817"/>
    <w:rsid w:val="002E1B34"/>
    <w:rsid w:val="002E1E2C"/>
    <w:rsid w:val="002E241F"/>
    <w:rsid w:val="002E2BBE"/>
    <w:rsid w:val="002E303B"/>
    <w:rsid w:val="002E350E"/>
    <w:rsid w:val="002E3AE4"/>
    <w:rsid w:val="002E4310"/>
    <w:rsid w:val="002E4EE6"/>
    <w:rsid w:val="002E4F9F"/>
    <w:rsid w:val="002E5122"/>
    <w:rsid w:val="002E53D3"/>
    <w:rsid w:val="002E5712"/>
    <w:rsid w:val="002E5E29"/>
    <w:rsid w:val="002E5E69"/>
    <w:rsid w:val="002E71CC"/>
    <w:rsid w:val="002E7CAE"/>
    <w:rsid w:val="002E7FF2"/>
    <w:rsid w:val="002F04D5"/>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6FA3"/>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4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66C"/>
    <w:rsid w:val="003477B1"/>
    <w:rsid w:val="00347B42"/>
    <w:rsid w:val="00351496"/>
    <w:rsid w:val="0035246D"/>
    <w:rsid w:val="00354A39"/>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17FB"/>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32A1"/>
    <w:rsid w:val="003939FF"/>
    <w:rsid w:val="0039409A"/>
    <w:rsid w:val="0039583C"/>
    <w:rsid w:val="00395A3E"/>
    <w:rsid w:val="00396A0E"/>
    <w:rsid w:val="00397435"/>
    <w:rsid w:val="003A028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7A3"/>
    <w:rsid w:val="003D79B4"/>
    <w:rsid w:val="003E01E6"/>
    <w:rsid w:val="003E0B88"/>
    <w:rsid w:val="003E15FA"/>
    <w:rsid w:val="003E1A19"/>
    <w:rsid w:val="003E212A"/>
    <w:rsid w:val="003E343E"/>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6448"/>
    <w:rsid w:val="0041659B"/>
    <w:rsid w:val="004170ED"/>
    <w:rsid w:val="004176D9"/>
    <w:rsid w:val="0042027A"/>
    <w:rsid w:val="004202B8"/>
    <w:rsid w:val="00421105"/>
    <w:rsid w:val="00421445"/>
    <w:rsid w:val="004226E6"/>
    <w:rsid w:val="004229CE"/>
    <w:rsid w:val="00423406"/>
    <w:rsid w:val="0042357A"/>
    <w:rsid w:val="00423CC7"/>
    <w:rsid w:val="0042400D"/>
    <w:rsid w:val="004242F4"/>
    <w:rsid w:val="00424C3A"/>
    <w:rsid w:val="00425572"/>
    <w:rsid w:val="00425D6E"/>
    <w:rsid w:val="00425F91"/>
    <w:rsid w:val="004261FD"/>
    <w:rsid w:val="00426920"/>
    <w:rsid w:val="004271FE"/>
    <w:rsid w:val="00427248"/>
    <w:rsid w:val="00430C45"/>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88E"/>
    <w:rsid w:val="00444F56"/>
    <w:rsid w:val="00445712"/>
    <w:rsid w:val="00445BAE"/>
    <w:rsid w:val="00445E4C"/>
    <w:rsid w:val="00445F61"/>
    <w:rsid w:val="004461AB"/>
    <w:rsid w:val="00446232"/>
    <w:rsid w:val="00446488"/>
    <w:rsid w:val="004466DF"/>
    <w:rsid w:val="00446853"/>
    <w:rsid w:val="00446E99"/>
    <w:rsid w:val="0044786E"/>
    <w:rsid w:val="00447C80"/>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6212"/>
    <w:rsid w:val="004565CE"/>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0A2"/>
    <w:rsid w:val="004A6120"/>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629"/>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303"/>
    <w:rsid w:val="004F4DA3"/>
    <w:rsid w:val="004F52C3"/>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217B"/>
    <w:rsid w:val="00542995"/>
    <w:rsid w:val="00542F77"/>
    <w:rsid w:val="00543811"/>
    <w:rsid w:val="00543BB2"/>
    <w:rsid w:val="005447D4"/>
    <w:rsid w:val="005451DB"/>
    <w:rsid w:val="005452B1"/>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65C"/>
    <w:rsid w:val="00577413"/>
    <w:rsid w:val="00577D45"/>
    <w:rsid w:val="00580E0D"/>
    <w:rsid w:val="00581739"/>
    <w:rsid w:val="0058263B"/>
    <w:rsid w:val="00582809"/>
    <w:rsid w:val="005829D8"/>
    <w:rsid w:val="00582EFE"/>
    <w:rsid w:val="00583779"/>
    <w:rsid w:val="005851C3"/>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B0D0E"/>
    <w:rsid w:val="005B0FDD"/>
    <w:rsid w:val="005B145B"/>
    <w:rsid w:val="005B1A6A"/>
    <w:rsid w:val="005B1F73"/>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1E79"/>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8AE"/>
    <w:rsid w:val="00630001"/>
    <w:rsid w:val="00630383"/>
    <w:rsid w:val="0063082B"/>
    <w:rsid w:val="006311B3"/>
    <w:rsid w:val="00631474"/>
    <w:rsid w:val="006315D5"/>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0F29"/>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0CF"/>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66E"/>
    <w:rsid w:val="00713EBF"/>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B9"/>
    <w:rsid w:val="0077543E"/>
    <w:rsid w:val="007755F2"/>
    <w:rsid w:val="007759E3"/>
    <w:rsid w:val="00776971"/>
    <w:rsid w:val="00776978"/>
    <w:rsid w:val="00777004"/>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8BA"/>
    <w:rsid w:val="007B21B3"/>
    <w:rsid w:val="007B2340"/>
    <w:rsid w:val="007B2410"/>
    <w:rsid w:val="007B25B0"/>
    <w:rsid w:val="007B2985"/>
    <w:rsid w:val="007B3D2D"/>
    <w:rsid w:val="007B41BA"/>
    <w:rsid w:val="007B4969"/>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9BB"/>
    <w:rsid w:val="007C3D18"/>
    <w:rsid w:val="007C505D"/>
    <w:rsid w:val="007C5F7C"/>
    <w:rsid w:val="007C60BF"/>
    <w:rsid w:val="007C634E"/>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761"/>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4AA"/>
    <w:rsid w:val="00817D6A"/>
    <w:rsid w:val="0082122D"/>
    <w:rsid w:val="00822147"/>
    <w:rsid w:val="00822639"/>
    <w:rsid w:val="008228F0"/>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104"/>
    <w:rsid w:val="008314AE"/>
    <w:rsid w:val="008315A3"/>
    <w:rsid w:val="008315DE"/>
    <w:rsid w:val="0083364C"/>
    <w:rsid w:val="0083457C"/>
    <w:rsid w:val="00834F36"/>
    <w:rsid w:val="00835491"/>
    <w:rsid w:val="008355CE"/>
    <w:rsid w:val="008364A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FB0"/>
    <w:rsid w:val="008604CC"/>
    <w:rsid w:val="00860FBE"/>
    <w:rsid w:val="00861DE1"/>
    <w:rsid w:val="00862C61"/>
    <w:rsid w:val="0086300C"/>
    <w:rsid w:val="00863939"/>
    <w:rsid w:val="008647E4"/>
    <w:rsid w:val="00864B00"/>
    <w:rsid w:val="00865689"/>
    <w:rsid w:val="00865D85"/>
    <w:rsid w:val="00865DF7"/>
    <w:rsid w:val="0086665B"/>
    <w:rsid w:val="0086712E"/>
    <w:rsid w:val="008677FD"/>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076"/>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22CA"/>
    <w:rsid w:val="009C2A9A"/>
    <w:rsid w:val="009C3607"/>
    <w:rsid w:val="009C3A02"/>
    <w:rsid w:val="009C403E"/>
    <w:rsid w:val="009C5727"/>
    <w:rsid w:val="009C5A78"/>
    <w:rsid w:val="009C5FCB"/>
    <w:rsid w:val="009D03E6"/>
    <w:rsid w:val="009D0FC2"/>
    <w:rsid w:val="009D11B2"/>
    <w:rsid w:val="009D1584"/>
    <w:rsid w:val="009D2310"/>
    <w:rsid w:val="009D2398"/>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14"/>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30C"/>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B8"/>
    <w:rsid w:val="00A221F2"/>
    <w:rsid w:val="00A223C8"/>
    <w:rsid w:val="00A2351A"/>
    <w:rsid w:val="00A236D0"/>
    <w:rsid w:val="00A23BEE"/>
    <w:rsid w:val="00A23BF9"/>
    <w:rsid w:val="00A241BC"/>
    <w:rsid w:val="00A2445F"/>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130C"/>
    <w:rsid w:val="00A41E2B"/>
    <w:rsid w:val="00A420B1"/>
    <w:rsid w:val="00A42927"/>
    <w:rsid w:val="00A42F85"/>
    <w:rsid w:val="00A438D3"/>
    <w:rsid w:val="00A442BB"/>
    <w:rsid w:val="00A444EE"/>
    <w:rsid w:val="00A45B74"/>
    <w:rsid w:val="00A45E74"/>
    <w:rsid w:val="00A4604E"/>
    <w:rsid w:val="00A46EF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450E"/>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60284"/>
    <w:rsid w:val="00B60697"/>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8C"/>
    <w:rsid w:val="00BD10CB"/>
    <w:rsid w:val="00BD213F"/>
    <w:rsid w:val="00BD2FFC"/>
    <w:rsid w:val="00BD38D9"/>
    <w:rsid w:val="00BD3F94"/>
    <w:rsid w:val="00BD48AC"/>
    <w:rsid w:val="00BD4C4F"/>
    <w:rsid w:val="00BD5062"/>
    <w:rsid w:val="00BD514B"/>
    <w:rsid w:val="00BD5D17"/>
    <w:rsid w:val="00BD5F1A"/>
    <w:rsid w:val="00BD635A"/>
    <w:rsid w:val="00BD6727"/>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3017"/>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8"/>
    <w:rsid w:val="00C644CA"/>
    <w:rsid w:val="00C64622"/>
    <w:rsid w:val="00C64672"/>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00C"/>
    <w:rsid w:val="00C87E98"/>
    <w:rsid w:val="00C9027A"/>
    <w:rsid w:val="00C902D0"/>
    <w:rsid w:val="00C9039F"/>
    <w:rsid w:val="00C9068E"/>
    <w:rsid w:val="00C90919"/>
    <w:rsid w:val="00C9096B"/>
    <w:rsid w:val="00C91070"/>
    <w:rsid w:val="00C911E2"/>
    <w:rsid w:val="00C91658"/>
    <w:rsid w:val="00C91827"/>
    <w:rsid w:val="00C924CF"/>
    <w:rsid w:val="00C92A37"/>
    <w:rsid w:val="00C93C4B"/>
    <w:rsid w:val="00C944AB"/>
    <w:rsid w:val="00C9463C"/>
    <w:rsid w:val="00C95241"/>
    <w:rsid w:val="00C95B40"/>
    <w:rsid w:val="00C95BD0"/>
    <w:rsid w:val="00C96068"/>
    <w:rsid w:val="00C96BB0"/>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B38"/>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7B"/>
    <w:rsid w:val="00CD356D"/>
    <w:rsid w:val="00CD35A6"/>
    <w:rsid w:val="00CD3A21"/>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10249"/>
    <w:rsid w:val="00D103C2"/>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CEE"/>
    <w:rsid w:val="00DD0FDF"/>
    <w:rsid w:val="00DD1688"/>
    <w:rsid w:val="00DD2747"/>
    <w:rsid w:val="00DD2B73"/>
    <w:rsid w:val="00DD33CE"/>
    <w:rsid w:val="00DD383C"/>
    <w:rsid w:val="00DD3CD1"/>
    <w:rsid w:val="00DD6746"/>
    <w:rsid w:val="00DD68C9"/>
    <w:rsid w:val="00DD76F7"/>
    <w:rsid w:val="00DE0ADB"/>
    <w:rsid w:val="00DE0AEF"/>
    <w:rsid w:val="00DE0C77"/>
    <w:rsid w:val="00DE0FB3"/>
    <w:rsid w:val="00DE2549"/>
    <w:rsid w:val="00DE39AF"/>
    <w:rsid w:val="00DE3A8D"/>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3B8"/>
    <w:rsid w:val="00E412D7"/>
    <w:rsid w:val="00E41A8A"/>
    <w:rsid w:val="00E41C2B"/>
    <w:rsid w:val="00E42EE7"/>
    <w:rsid w:val="00E433B9"/>
    <w:rsid w:val="00E436C4"/>
    <w:rsid w:val="00E43FDC"/>
    <w:rsid w:val="00E446F1"/>
    <w:rsid w:val="00E44AB8"/>
    <w:rsid w:val="00E44C33"/>
    <w:rsid w:val="00E44CB4"/>
    <w:rsid w:val="00E458B1"/>
    <w:rsid w:val="00E46886"/>
    <w:rsid w:val="00E4786D"/>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1F35"/>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A0D"/>
    <w:rsid w:val="00EF18FE"/>
    <w:rsid w:val="00EF1D99"/>
    <w:rsid w:val="00EF233A"/>
    <w:rsid w:val="00EF2D75"/>
    <w:rsid w:val="00EF2EA4"/>
    <w:rsid w:val="00EF3118"/>
    <w:rsid w:val="00EF3862"/>
    <w:rsid w:val="00EF3B06"/>
    <w:rsid w:val="00EF464D"/>
    <w:rsid w:val="00EF5787"/>
    <w:rsid w:val="00EF57BD"/>
    <w:rsid w:val="00EF5C72"/>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3079"/>
    <w:rsid w:val="00F135AA"/>
    <w:rsid w:val="00F13998"/>
    <w:rsid w:val="00F13E1E"/>
    <w:rsid w:val="00F142C2"/>
    <w:rsid w:val="00F1435C"/>
    <w:rsid w:val="00F149B8"/>
    <w:rsid w:val="00F14D0B"/>
    <w:rsid w:val="00F15FA5"/>
    <w:rsid w:val="00F166A5"/>
    <w:rsid w:val="00F17A95"/>
    <w:rsid w:val="00F209B7"/>
    <w:rsid w:val="00F20CC3"/>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204D"/>
    <w:rsid w:val="00F6302A"/>
    <w:rsid w:val="00F630AB"/>
    <w:rsid w:val="00F632E4"/>
    <w:rsid w:val="00F64C2B"/>
    <w:rsid w:val="00F64CE6"/>
    <w:rsid w:val="00F651BE"/>
    <w:rsid w:val="00F65847"/>
    <w:rsid w:val="00F66514"/>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372D"/>
    <w:rsid w:val="00F842D0"/>
    <w:rsid w:val="00F8456C"/>
    <w:rsid w:val="00F848FD"/>
    <w:rsid w:val="00F849CB"/>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02E"/>
    <w:rsid w:val="00F939A2"/>
    <w:rsid w:val="00F93AA9"/>
    <w:rsid w:val="00F93D9D"/>
    <w:rsid w:val="00F941DE"/>
    <w:rsid w:val="00F94E70"/>
    <w:rsid w:val="00F9589D"/>
    <w:rsid w:val="00F96985"/>
    <w:rsid w:val="00F973CF"/>
    <w:rsid w:val="00F97838"/>
    <w:rsid w:val="00F97EAB"/>
    <w:rsid w:val="00FA0004"/>
    <w:rsid w:val="00FA007A"/>
    <w:rsid w:val="00FA1116"/>
    <w:rsid w:val="00FA197F"/>
    <w:rsid w:val="00FA1D2C"/>
    <w:rsid w:val="00FA29B8"/>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 w:type="character" w:customStyle="1" w:styleId="EditorsNoteChar">
    <w:name w:val="Editor's Note Char"/>
    <w:link w:val="EditorsNote"/>
    <w:qFormat/>
    <w:locked/>
    <w:rsid w:val="008228F0"/>
    <w:rPr>
      <w:rFonts w:ascii="Arial" w:hAnsi="Arial"/>
      <w:color w:val="FF0000"/>
      <w:lang w:val="en-GB"/>
    </w:rPr>
  </w:style>
  <w:style w:type="paragraph" w:customStyle="1" w:styleId="ZTE-Proposal-20210505">
    <w:name w:val="!ZTE-Proposal-2021 + 段前: 0.5 行 段后: 0.5 行"/>
    <w:basedOn w:val="Normal"/>
    <w:qFormat/>
    <w:rsid w:val="00447C80"/>
    <w:pPr>
      <w:numPr>
        <w:numId w:val="18"/>
      </w:numPr>
      <w:tabs>
        <w:tab w:val="num" w:pos="1304"/>
      </w:tabs>
      <w:overflowPunct/>
      <w:autoSpaceDE/>
      <w:autoSpaceDN/>
      <w:adjustRightInd/>
      <w:spacing w:beforeLines="50" w:before="50" w:afterLines="50" w:after="50" w:line="259" w:lineRule="auto"/>
      <w:ind w:left="1132" w:hangingChars="564" w:hanging="1132"/>
      <w:jc w:val="left"/>
      <w:textAlignment w:val="auto"/>
    </w:pPr>
    <w:rPr>
      <w:rFonts w:ascii="Times New Roman" w:eastAsia="SimSun" w:hAnsi="Times New Roman" w:cs="SimSun"/>
      <w:b/>
      <w:bCs/>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7151040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802000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7143176">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473112">
      <w:bodyDiv w:val="1"/>
      <w:marLeft w:val="0"/>
      <w:marRight w:val="0"/>
      <w:marTop w:val="0"/>
      <w:marBottom w:val="0"/>
      <w:divBdr>
        <w:top w:val="none" w:sz="0" w:space="0" w:color="auto"/>
        <w:left w:val="none" w:sz="0" w:space="0" w:color="auto"/>
        <w:bottom w:val="none" w:sz="0" w:space="0" w:color="auto"/>
        <w:right w:val="none" w:sz="0" w:space="0" w:color="auto"/>
      </w:divBdr>
    </w:div>
    <w:div w:id="702827481">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03629555">
      <w:bodyDiv w:val="1"/>
      <w:marLeft w:val="0"/>
      <w:marRight w:val="0"/>
      <w:marTop w:val="0"/>
      <w:marBottom w:val="0"/>
      <w:divBdr>
        <w:top w:val="none" w:sz="0" w:space="0" w:color="auto"/>
        <w:left w:val="none" w:sz="0" w:space="0" w:color="auto"/>
        <w:bottom w:val="none" w:sz="0" w:space="0" w:color="auto"/>
        <w:right w:val="none" w:sz="0" w:space="0" w:color="auto"/>
      </w:divBdr>
    </w:div>
    <w:div w:id="10492619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9474483">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6693793">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5650110">
      <w:bodyDiv w:val="1"/>
      <w:marLeft w:val="0"/>
      <w:marRight w:val="0"/>
      <w:marTop w:val="0"/>
      <w:marBottom w:val="0"/>
      <w:divBdr>
        <w:top w:val="none" w:sz="0" w:space="0" w:color="auto"/>
        <w:left w:val="none" w:sz="0" w:space="0" w:color="auto"/>
        <w:bottom w:val="none" w:sz="0" w:space="0" w:color="auto"/>
        <w:right w:val="none" w:sz="0" w:space="0" w:color="auto"/>
      </w:divBdr>
    </w:div>
    <w:div w:id="1863207394">
      <w:bodyDiv w:val="1"/>
      <w:marLeft w:val="0"/>
      <w:marRight w:val="0"/>
      <w:marTop w:val="0"/>
      <w:marBottom w:val="0"/>
      <w:divBdr>
        <w:top w:val="none" w:sz="0" w:space="0" w:color="auto"/>
        <w:left w:val="none" w:sz="0" w:space="0" w:color="auto"/>
        <w:bottom w:val="none" w:sz="0" w:space="0" w:color="auto"/>
        <w:right w:val="none" w:sz="0" w:space="0" w:color="auto"/>
      </w:divBdr>
    </w:div>
    <w:div w:id="1954944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034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EB97F-8AEF-4F74-BC97-BB0D3CBBF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3.xml><?xml version="1.0" encoding="utf-8"?>
<ds:datastoreItem xmlns:ds="http://schemas.openxmlformats.org/officeDocument/2006/customXml" ds:itemID="{DB43CCC5-BB6B-46F1-8A65-45BBB7F690DA}">
  <ds:schemaRefs>
    <ds:schemaRef ds:uri="http://schemas.microsoft.com/office/2006/metadata/longProperties"/>
  </ds:schemaRefs>
</ds:datastoreItem>
</file>

<file path=customXml/itemProps4.xml><?xml version="1.0" encoding="utf-8"?>
<ds:datastoreItem xmlns:ds="http://schemas.openxmlformats.org/officeDocument/2006/customXml" ds:itemID="{BE28C206-36CA-4EEA-8828-6FB75EB8B0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AFE91E25-5900-468B-9CA1-AE90E7B4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270</TotalTime>
  <Pages>5</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Interdigital (Oumer Teyeb)</cp:lastModifiedBy>
  <cp:revision>56</cp:revision>
  <cp:lastPrinted>2016-11-04T21:26:00Z</cp:lastPrinted>
  <dcterms:created xsi:type="dcterms:W3CDTF">2023-05-10T20:28:00Z</dcterms:created>
  <dcterms:modified xsi:type="dcterms:W3CDTF">2023-09-29T02:13:00Z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